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3A7AB">
      <w:pPr>
        <w:spacing w:before="120" w:after="120" w:line="288" w:lineRule="auto"/>
        <w:ind w:left="0"/>
        <w:jc w:val="center"/>
        <w:rPr>
          <w:sz w:val="44"/>
          <w:szCs w:val="44"/>
        </w:rPr>
      </w:pPr>
      <w:r>
        <w:rPr>
          <w:rFonts w:ascii="Arial" w:hAnsi="Arial" w:eastAsia="等线" w:cs="Arial"/>
          <w:b/>
          <w:sz w:val="44"/>
          <w:szCs w:val="44"/>
        </w:rPr>
        <w:t>数字经济法律服务月刊 2024年</w:t>
      </w:r>
      <w:r>
        <w:rPr>
          <w:rFonts w:hint="eastAsia" w:ascii="Arial" w:hAnsi="Arial" w:eastAsia="等线" w:cs="Arial"/>
          <w:b/>
          <w:sz w:val="44"/>
          <w:szCs w:val="44"/>
          <w:lang w:val="en-US" w:eastAsia="zh-CN"/>
        </w:rPr>
        <w:t>8</w:t>
      </w:r>
      <w:r>
        <w:rPr>
          <w:rFonts w:ascii="Arial" w:hAnsi="Arial" w:eastAsia="等线" w:cs="Arial"/>
          <w:b/>
          <w:sz w:val="44"/>
          <w:szCs w:val="44"/>
        </w:rPr>
        <w:t>月刊</w:t>
      </w:r>
    </w:p>
    <w:p w14:paraId="4303F3D9">
      <w:pPr>
        <w:spacing w:before="120" w:after="120" w:line="288" w:lineRule="auto"/>
        <w:ind w:left="0"/>
        <w:jc w:val="center"/>
      </w:pPr>
      <w:r>
        <w:rPr>
          <w:rFonts w:ascii="Arial" w:hAnsi="Arial" w:eastAsia="等线" w:cs="Arial"/>
          <w:b/>
          <w:sz w:val="22"/>
        </w:rPr>
        <w:t xml:space="preserve"> </w:t>
      </w:r>
    </w:p>
    <w:p w14:paraId="16150599">
      <w:pPr>
        <w:spacing w:before="120" w:after="120" w:line="288" w:lineRule="auto"/>
        <w:ind w:left="0"/>
        <w:jc w:val="center"/>
        <w:rPr>
          <w:rFonts w:ascii="Arial" w:hAnsi="Arial" w:eastAsia="等线" w:cs="Arial"/>
          <w:b/>
          <w:sz w:val="22"/>
        </w:rPr>
      </w:pPr>
      <w:bookmarkStart w:id="0" w:name="_GoBack"/>
      <w:bookmarkEnd w:id="0"/>
    </w:p>
    <w:p w14:paraId="7F1A2268">
      <w:pPr>
        <w:spacing w:before="120" w:after="120" w:line="288" w:lineRule="auto"/>
        <w:ind w:left="0"/>
        <w:jc w:val="center"/>
      </w:pPr>
      <w:r>
        <w:rPr>
          <w:rFonts w:ascii="Arial" w:hAnsi="Arial" w:eastAsia="等线" w:cs="Arial"/>
          <w:b/>
          <w:sz w:val="22"/>
        </w:rPr>
        <w:t>【立法前沿】</w:t>
      </w:r>
    </w:p>
    <w:p w14:paraId="130BA13E">
      <w:pPr>
        <w:spacing w:before="120" w:after="120" w:line="288" w:lineRule="auto"/>
        <w:ind w:left="0"/>
        <w:jc w:val="left"/>
      </w:pPr>
    </w:p>
    <w:p w14:paraId="72B0C6D9">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中央网信办等十部门联合印发《数字化绿色化协同转型发展实施指南》</w:t>
      </w:r>
    </w:p>
    <w:p w14:paraId="663EE33B">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627C749">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了更好指导部门、地方、社会组织和企业开展绿色化与数字化的协同转型工作，中央网信办、国家发展改革委、工业和信息化部、自然资源部、生态环境部、住房城乡建设部、交通运输部、农业农村部、市场监管总局、国家数据局等相关部门组织编制了《数字化绿色化协同转型发展实施指南》。指南指出，各地方政府及相关部门应在行业主管部门的指导下，增强本地区的生态环境数字化治理能力，强化对跨区域、流域、海域的生态环境的协同保护，并建立和完善应对气候变化的服务体系，采用高水平的数字生态环境治理手段来助力数字生态文明建设。此外，指南还明确了推动数字产业向绿色低碳发展的方向和加快数字技术赋能行业绿色化转型这两大主要任务。</w:t>
      </w:r>
    </w:p>
    <w:p w14:paraId="31ED6397">
      <w:pPr>
        <w:spacing w:before="120" w:after="120" w:line="288" w:lineRule="auto"/>
        <w:ind w:firstLine="440" w:firstLineChars="200"/>
        <w:jc w:val="left"/>
        <w:rPr>
          <w:rFonts w:hint="eastAsia" w:ascii="Arial" w:hAnsi="Arial" w:eastAsia="等线" w:cs="Arial"/>
          <w:sz w:val="22"/>
          <w:lang w:val="en-US" w:eastAsia="zh-CN"/>
        </w:rPr>
      </w:pPr>
    </w:p>
    <w:p w14:paraId="152C8BC6">
      <w:pPr>
        <w:spacing w:before="120" w:after="120" w:line="288" w:lineRule="auto"/>
        <w:ind w:left="0"/>
        <w:jc w:val="left"/>
        <w:rPr>
          <w:rFonts w:hint="eastAsia" w:ascii="Arial" w:hAnsi="Arial" w:eastAsia="等线" w:cs="Arial"/>
          <w:color w:val="3370FF"/>
          <w:sz w:val="22"/>
          <w:u w:val="single"/>
        </w:rPr>
      </w:pPr>
      <w:r>
        <w:rPr>
          <w:rFonts w:ascii="Arial" w:hAnsi="Arial" w:eastAsia="等线" w:cs="Arial"/>
          <w:b/>
          <w:sz w:val="22"/>
        </w:rPr>
        <w:t>来源：</w:t>
      </w:r>
      <w:r>
        <w:rPr>
          <w:rFonts w:hint="eastAsia" w:ascii="Arial" w:hAnsi="Arial" w:eastAsia="等线" w:cs="Arial"/>
          <w:sz w:val="22"/>
          <w:lang w:val="en-US" w:eastAsia="zh-CN"/>
        </w:rPr>
        <w:t>中央网络安全和信息化委员会办公室 中华人民共和国国家互联网信息办公室</w:t>
      </w:r>
      <w:r>
        <w:rPr>
          <w:rFonts w:hint="eastAsia" w:ascii="Arial" w:hAnsi="Arial" w:eastAsia="等线" w:cs="Arial"/>
          <w:color w:val="3370FF"/>
          <w:sz w:val="22"/>
          <w:u w:val="single"/>
        </w:rPr>
        <w:t>https://www.cac.gov.cn/2024-08/24/c_1726213097966469.htm</w:t>
      </w:r>
    </w:p>
    <w:p w14:paraId="1A8CF4FE">
      <w:pPr>
        <w:spacing w:before="120" w:after="120" w:line="288" w:lineRule="auto"/>
        <w:ind w:left="0"/>
        <w:jc w:val="left"/>
        <w:rPr>
          <w:rFonts w:ascii="Arial" w:hAnsi="Arial" w:eastAsia="等线" w:cs="Arial"/>
          <w:b/>
          <w:color w:val="245BDB"/>
          <w:sz w:val="22"/>
        </w:rPr>
      </w:pPr>
    </w:p>
    <w:p w14:paraId="59D97AF3">
      <w:pPr>
        <w:spacing w:before="120" w:after="120" w:line="288" w:lineRule="auto"/>
        <w:ind w:left="0"/>
        <w:jc w:val="left"/>
        <w:rPr>
          <w:rFonts w:ascii="Arial" w:hAnsi="Arial" w:eastAsia="等线" w:cs="Arial"/>
          <w:b/>
          <w:color w:val="245BDB"/>
          <w:sz w:val="22"/>
        </w:rPr>
      </w:pPr>
    </w:p>
    <w:p w14:paraId="366FBE95">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工信部发布</w:t>
      </w:r>
      <w:r>
        <w:rPr>
          <w:rFonts w:hint="eastAsia" w:ascii="Arial" w:hAnsi="Arial" w:eastAsia="等线" w:cs="Arial"/>
          <w:b/>
          <w:color w:val="245BDB"/>
          <w:sz w:val="22"/>
        </w:rPr>
        <w:t>《工业机器人行业规范条件（2024版）》和《工业机器人行业规范条件管理实施办法（2024版）》</w:t>
      </w:r>
    </w:p>
    <w:p w14:paraId="21840F5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558402CB">
      <w:pPr>
        <w:spacing w:before="120" w:after="120" w:line="288" w:lineRule="auto"/>
        <w:ind w:left="0"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加快推进新型工业化，进一步加强工业机器人行业规范管理，推动产业高质量发展，根据行业发展变化和有关工作部署，工业和信息化部对《工业机器人行业规范条件》和《工业机器人行业规范管理实施办法》进行了修订，形成了《工业机器人行业规范条件（2024版）》和《工业机器人行业规范条件管理实施办法（2024版）》。</w:t>
      </w:r>
    </w:p>
    <w:p w14:paraId="5BE2F454">
      <w:pPr>
        <w:spacing w:before="120" w:after="120" w:line="288" w:lineRule="auto"/>
        <w:ind w:left="0"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前述《规范条件》和《管理实施办法》将于2024年8月1日开始实施。《规范条件》涵盖了从基本要求到企业营收、技术能力和生产条件、研发投入、质量标准、人员素质、销售及售后服务、安全管理以及社会责任和监督管理等多个方面，形成了一个全面的规范体系。为促进工业机器人行业的持续健康发展，工信部基于《规范条件》的相关规定制定了《管理实施办法》，鼓励企业依据《规范条件》自愿申请规范公告，而工业和信息化部将对符合《规范条件》的企业进行公告管理。</w:t>
      </w:r>
    </w:p>
    <w:p w14:paraId="2859FB23">
      <w:pPr>
        <w:spacing w:before="120" w:after="120" w:line="288" w:lineRule="auto"/>
        <w:ind w:left="0"/>
        <w:jc w:val="left"/>
        <w:rPr>
          <w:rFonts w:hint="eastAsia" w:ascii="Arial" w:hAnsi="Arial" w:eastAsia="等线" w:cs="Arial"/>
          <w:sz w:val="22"/>
          <w:lang w:val="en-US" w:eastAsia="zh-CN"/>
        </w:rPr>
      </w:pPr>
    </w:p>
    <w:p w14:paraId="7B346A90">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中国政府网</w:t>
      </w:r>
    </w:p>
    <w:p w14:paraId="36DFF52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"https://www.gov.cn/zhengce/zhengceku/202407/content_6965409.htm"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https://www.gov.cn/zhengce/zhengceku/202407/content_6965409.htm</w:t>
      </w:r>
      <w:r>
        <w:rPr>
          <w:rFonts w:hint="eastAsia" w:ascii="Arial" w:hAnsi="Arial" w:eastAsia="等线" w:cs="Arial"/>
          <w:color w:val="3370FF"/>
          <w:sz w:val="22"/>
          <w:u w:val="single"/>
        </w:rPr>
        <w:fldChar w:fldCharType="end"/>
      </w:r>
    </w:p>
    <w:p w14:paraId="4C4173F0">
      <w:pPr>
        <w:spacing w:before="120" w:after="120" w:line="288" w:lineRule="auto"/>
        <w:ind w:left="0"/>
        <w:jc w:val="left"/>
        <w:rPr>
          <w:rFonts w:ascii="Arial" w:hAnsi="Arial" w:eastAsia="等线" w:cs="Arial"/>
          <w:b/>
          <w:color w:val="245BDB"/>
          <w:sz w:val="22"/>
        </w:rPr>
      </w:pPr>
    </w:p>
    <w:p w14:paraId="31417BD4">
      <w:pPr>
        <w:spacing w:before="120" w:after="120" w:line="288" w:lineRule="auto"/>
        <w:ind w:left="0"/>
        <w:jc w:val="left"/>
        <w:rPr>
          <w:rFonts w:ascii="Arial" w:hAnsi="Arial" w:eastAsia="等线" w:cs="Arial"/>
          <w:b/>
          <w:color w:val="245BDB"/>
          <w:sz w:val="22"/>
        </w:rPr>
      </w:pPr>
    </w:p>
    <w:p w14:paraId="200176C9">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电子商务</w:t>
      </w:r>
      <w:r>
        <w:rPr>
          <w:rFonts w:ascii="Arial" w:hAnsi="Arial" w:eastAsia="等线" w:cs="Arial"/>
          <w:b/>
          <w:color w:val="245BDB"/>
          <w:sz w:val="22"/>
        </w:rPr>
        <w:t xml:space="preserve">] </w:t>
      </w:r>
      <w:r>
        <w:rPr>
          <w:rFonts w:hint="eastAsia" w:ascii="Arial" w:hAnsi="Arial" w:eastAsia="等线" w:cs="Arial"/>
          <w:b/>
          <w:color w:val="245BDB"/>
          <w:sz w:val="22"/>
        </w:rPr>
        <w:t>市场监管总局发布《互联网广告可识别性执法指南》</w:t>
      </w:r>
    </w:p>
    <w:p w14:paraId="5C0F54DE">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212D2632">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规范互联网广告可识别性相关监管执法工作，帮助消费者辨明互联网广告与非广告信息，保护消费者的合法权益，市场监管总局于2024年8月22日制定并发布了《互联网广告可识别性执法指南》。指南详细规定了常见广告业务场景下认定互联网广告可识别性的具体标准，并鼓励广告发布者主动提示人工智能技术的使用情况；同时，指南也引导平台经营者参与协同治理，完善平台规则，为广告标识提供便利。</w:t>
      </w:r>
    </w:p>
    <w:p w14:paraId="3B739741">
      <w:pPr>
        <w:spacing w:before="120" w:after="120" w:line="288" w:lineRule="auto"/>
        <w:ind w:firstLine="440" w:firstLineChars="200"/>
        <w:jc w:val="left"/>
        <w:rPr>
          <w:rFonts w:hint="eastAsia" w:ascii="Arial" w:hAnsi="Arial" w:eastAsia="等线" w:cs="Arial"/>
          <w:sz w:val="22"/>
          <w:lang w:val="en-US" w:eastAsia="zh-CN"/>
        </w:rPr>
      </w:pPr>
    </w:p>
    <w:p w14:paraId="22C77F9C">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中国政府网</w:t>
      </w:r>
    </w:p>
    <w:p w14:paraId="046D142D">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"https://www.gov.cn/zhengce/zhengceku/202408/content_6970377.htm"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https://www.gov.cn/zhengce/zhengceku/202408/content_6970377.htm</w:t>
      </w:r>
      <w:r>
        <w:rPr>
          <w:rFonts w:hint="eastAsia" w:ascii="Arial" w:hAnsi="Arial" w:eastAsia="等线" w:cs="Arial"/>
          <w:color w:val="3370FF"/>
          <w:sz w:val="22"/>
          <w:u w:val="single"/>
        </w:rPr>
        <w:fldChar w:fldCharType="end"/>
      </w:r>
    </w:p>
    <w:p w14:paraId="732BCF5A">
      <w:pPr>
        <w:spacing w:before="120" w:after="120" w:line="288" w:lineRule="auto"/>
        <w:ind w:left="0"/>
        <w:jc w:val="left"/>
        <w:rPr>
          <w:rFonts w:hint="eastAsia" w:ascii="Arial" w:hAnsi="Arial" w:eastAsia="等线" w:cs="Arial"/>
          <w:color w:val="3370FF"/>
          <w:sz w:val="22"/>
          <w:u w:val="single"/>
        </w:rPr>
      </w:pPr>
    </w:p>
    <w:p w14:paraId="2CFE7E40">
      <w:pPr>
        <w:spacing w:before="120" w:after="120" w:line="288" w:lineRule="auto"/>
        <w:ind w:left="0"/>
        <w:jc w:val="left"/>
        <w:rPr>
          <w:rFonts w:hint="eastAsia" w:ascii="Arial" w:hAnsi="Arial" w:eastAsia="等线" w:cs="Arial"/>
          <w:color w:val="3370FF"/>
          <w:sz w:val="22"/>
          <w:u w:val="single"/>
        </w:rPr>
      </w:pPr>
    </w:p>
    <w:p w14:paraId="57853ED8">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工业物联网</w:t>
      </w:r>
      <w:r>
        <w:rPr>
          <w:rFonts w:ascii="Arial" w:hAnsi="Arial" w:eastAsia="等线" w:cs="Arial"/>
          <w:b/>
          <w:color w:val="245BDB"/>
          <w:sz w:val="22"/>
        </w:rPr>
        <w:t xml:space="preserve">] </w:t>
      </w:r>
      <w:r>
        <w:rPr>
          <w:rFonts w:hint="eastAsia" w:ascii="Arial" w:hAnsi="Arial" w:eastAsia="等线" w:cs="Arial"/>
          <w:b/>
          <w:color w:val="245BDB"/>
          <w:sz w:val="22"/>
        </w:rPr>
        <w:t>工业和信息化部</w:t>
      </w:r>
      <w:r>
        <w:rPr>
          <w:rFonts w:hint="eastAsia" w:ascii="Arial" w:hAnsi="Arial" w:eastAsia="等线" w:cs="Arial"/>
          <w:b/>
          <w:color w:val="245BDB"/>
          <w:sz w:val="22"/>
          <w:lang w:eastAsia="zh-CN"/>
        </w:rPr>
        <w:t>、</w:t>
      </w:r>
      <w:r>
        <w:rPr>
          <w:rFonts w:hint="eastAsia" w:ascii="Arial" w:hAnsi="Arial" w:eastAsia="等线" w:cs="Arial"/>
          <w:b/>
          <w:color w:val="245BDB"/>
          <w:sz w:val="22"/>
        </w:rPr>
        <w:t>国家标准化管理委员会</w:t>
      </w:r>
      <w:r>
        <w:rPr>
          <w:rFonts w:hint="eastAsia" w:ascii="Arial" w:hAnsi="Arial" w:eastAsia="等线" w:cs="Arial"/>
          <w:b/>
          <w:color w:val="245BDB"/>
          <w:sz w:val="22"/>
          <w:lang w:val="en-US" w:eastAsia="zh-CN"/>
        </w:rPr>
        <w:t>发布《</w:t>
      </w:r>
      <w:r>
        <w:rPr>
          <w:rFonts w:hint="eastAsia" w:ascii="Arial" w:hAnsi="Arial" w:eastAsia="等线" w:cs="Arial"/>
          <w:b/>
          <w:color w:val="245BDB"/>
          <w:sz w:val="22"/>
        </w:rPr>
        <w:t>物联网标准体系建设指南（2024版）</w:t>
      </w:r>
      <w:r>
        <w:rPr>
          <w:rFonts w:hint="eastAsia" w:ascii="Arial" w:hAnsi="Arial" w:eastAsia="等线" w:cs="Arial"/>
          <w:b/>
          <w:color w:val="245BDB"/>
          <w:sz w:val="22"/>
          <w:lang w:eastAsia="zh-CN"/>
        </w:rPr>
        <w:t>》</w:t>
      </w:r>
    </w:p>
    <w:p w14:paraId="015372CE">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797D39D6">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扎实推进《新产业标准化领航工程实施方案（2023－2035年）》，加强标准工作顶层设计，引领物联网产业高质量发展，工业和信息化部、国家标准化管理委员会组织编制了《物联网标准体系建设指南（2024版）》。物联网标准体系包括基础标准、技术标准、建设运维标准和应用标准等4个部分。其中，基础标准是物联网的总体性、框架性标准,为其他各类标准提供基础支撑;技术标准是物联网的关键共性技术与融合技术标准,为实现物联网应用提供技术支撑;建设运维标准是物联网系统规划、建设、运行、维护的标准,以指导各行业推进物联网系统建设和规模化部署应用;应用标准是面向行业具体应用需求,对其它部分标准的细化,支撑各行业发展。</w:t>
      </w:r>
    </w:p>
    <w:p w14:paraId="1810016E">
      <w:pPr>
        <w:spacing w:before="120" w:after="120" w:line="288" w:lineRule="auto"/>
        <w:jc w:val="left"/>
        <w:rPr>
          <w:rFonts w:hint="eastAsia" w:ascii="Arial" w:hAnsi="Arial" w:eastAsia="等线" w:cs="Arial"/>
          <w:sz w:val="22"/>
          <w:lang w:val="en-US" w:eastAsia="zh-CN"/>
        </w:rPr>
      </w:pPr>
    </w:p>
    <w:p w14:paraId="0F78D54E">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中华人民共和国工业和信息化部</w:t>
      </w:r>
    </w:p>
    <w:p w14:paraId="71E64C07">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https://www.miit.gov.cn/zwgk/zcwj/wjfb/tz/art/2024/art_4ff2646910384278a75238457893a14c.html</w:t>
      </w:r>
    </w:p>
    <w:p w14:paraId="470AA0D1">
      <w:pPr>
        <w:spacing w:before="120" w:after="120" w:line="288" w:lineRule="auto"/>
        <w:ind w:left="0"/>
        <w:jc w:val="left"/>
        <w:rPr>
          <w:rFonts w:hint="eastAsia" w:ascii="Arial" w:hAnsi="Arial" w:eastAsia="等线" w:cs="Arial"/>
          <w:color w:val="3370FF"/>
          <w:sz w:val="22"/>
          <w:u w:val="single"/>
        </w:rPr>
      </w:pPr>
    </w:p>
    <w:p w14:paraId="3421E222">
      <w:pPr>
        <w:spacing w:before="120" w:after="120" w:line="288" w:lineRule="auto"/>
        <w:ind w:left="0"/>
        <w:jc w:val="left"/>
        <w:rPr>
          <w:rFonts w:hint="eastAsia" w:ascii="Arial" w:hAnsi="Arial" w:eastAsia="等线" w:cs="Arial"/>
          <w:color w:val="3370FF"/>
          <w:sz w:val="22"/>
          <w:u w:val="single"/>
        </w:rPr>
      </w:pPr>
    </w:p>
    <w:p w14:paraId="68719E1E">
      <w:pPr>
        <w:spacing w:before="120" w:after="120" w:line="288" w:lineRule="auto"/>
        <w:ind w:left="0"/>
        <w:jc w:val="left"/>
        <w:rPr>
          <w:rFonts w:hint="eastAsia" w:ascii="Arial" w:hAnsi="Arial" w:eastAsia="等线" w:cs="Arial"/>
          <w:color w:val="3370FF"/>
          <w:sz w:val="22"/>
          <w:u w:val="single"/>
        </w:rPr>
      </w:pPr>
    </w:p>
    <w:p w14:paraId="35ECA882">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北京市互联网信息办公室等三部门印发 《中国（北京）自由贸易试验区数据出境负面清单 管理办法（试行）》《中国（北京）自由贸易试验区 数据出境管理清单（负面清单）（2024版）》</w:t>
      </w:r>
    </w:p>
    <w:p w14:paraId="20737F7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2158FFEB">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贯彻党的二十届三中全会关于“建立高效便利安全的数据跨境流动机制”的部署精神，北京市互联网信息办公室、北京市商务局、北京市政务服务和数据管理局会同有关部门制定了《中国（北京）自由贸易试验区数据出境负面清单管理办法（试行）》《中国（北京）自由贸易试验区数据出境管理清单（负面清单）（2024版）》。《管理办法》针对负面清单的编制流程、职责划分、管理使用和安全监管进行详细设计，确立了基本规范，并优化了数据识别规则，提出41个子类的数据分类参考规则，旨在提高企业的数据识别能力。《负面清单》则考虑紧急数据出境需求和产业布局，采用“急用先行、小步快跑”的策略，在汽车、医药等五个关键领域制定了详细的业务场景和数据字段，以方便企业精确判断。此外，该政策将通过动态管理分步骤推进，不断更新和完善负面清单体系，强调示范引领、系统设计和实用性，标志着首个场景化和字段级的数据出境负面清单的诞生。</w:t>
      </w:r>
    </w:p>
    <w:p w14:paraId="709B89CD">
      <w:pPr>
        <w:spacing w:before="120" w:after="120" w:line="288" w:lineRule="auto"/>
        <w:ind w:firstLine="440" w:firstLineChars="200"/>
        <w:jc w:val="left"/>
        <w:rPr>
          <w:rFonts w:hint="eastAsia" w:ascii="Arial" w:hAnsi="Arial" w:eastAsia="等线" w:cs="Arial"/>
          <w:sz w:val="22"/>
          <w:lang w:val="en-US" w:eastAsia="zh-CN"/>
        </w:rPr>
      </w:pPr>
    </w:p>
    <w:p w14:paraId="019FC12B">
      <w:pPr>
        <w:spacing w:before="120" w:after="120" w:line="288" w:lineRule="auto"/>
        <w:ind w:left="0"/>
        <w:jc w:val="left"/>
        <w:rPr>
          <w:rFonts w:hint="eastAsia" w:ascii="Arial" w:hAnsi="Arial" w:eastAsia="等线" w:cs="Arial"/>
          <w:color w:val="3370FF"/>
          <w:sz w:val="22"/>
          <w:u w:val="single"/>
        </w:rPr>
      </w:pPr>
      <w:r>
        <w:rPr>
          <w:rFonts w:ascii="Arial" w:hAnsi="Arial" w:eastAsia="等线" w:cs="Arial"/>
          <w:b/>
          <w:sz w:val="22"/>
        </w:rPr>
        <w:t>来源：</w:t>
      </w:r>
      <w:r>
        <w:rPr>
          <w:rFonts w:hint="eastAsia" w:ascii="Arial" w:hAnsi="Arial" w:eastAsia="等线" w:cs="Arial"/>
          <w:sz w:val="22"/>
          <w:lang w:val="en-US" w:eastAsia="zh-CN"/>
        </w:rPr>
        <w:t>北京市商务局</w:t>
      </w:r>
      <w:r>
        <w:rPr>
          <w:rFonts w:hint="eastAsia" w:ascii="Arial" w:hAnsi="Arial" w:eastAsia="等线" w:cs="Arial"/>
          <w:color w:val="3370FF"/>
          <w:sz w:val="22"/>
          <w:u w:val="single"/>
        </w:rPr>
        <w:t>https://sw.beijing.gov.cn/zwxx/tzgg/202408/t20240830_3785174.html</w:t>
      </w:r>
    </w:p>
    <w:p w14:paraId="7CD4F09E">
      <w:pPr>
        <w:spacing w:before="120" w:after="120" w:line="288" w:lineRule="auto"/>
        <w:ind w:left="0"/>
        <w:jc w:val="left"/>
        <w:rPr>
          <w:rFonts w:hint="eastAsia" w:ascii="Arial" w:hAnsi="Arial" w:eastAsia="等线" w:cs="Arial"/>
          <w:color w:val="3370FF"/>
          <w:sz w:val="22"/>
          <w:u w:val="single"/>
        </w:rPr>
      </w:pPr>
    </w:p>
    <w:p w14:paraId="51BA0696">
      <w:pPr>
        <w:spacing w:before="120" w:after="120" w:line="288" w:lineRule="auto"/>
        <w:ind w:left="0"/>
        <w:jc w:val="left"/>
        <w:rPr>
          <w:rFonts w:hint="eastAsia" w:ascii="Arial" w:hAnsi="Arial" w:eastAsia="等线" w:cs="Arial"/>
          <w:color w:val="3370FF"/>
          <w:sz w:val="22"/>
          <w:u w:val="single"/>
        </w:rPr>
      </w:pPr>
    </w:p>
    <w:p w14:paraId="66F7505F">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广州市政务服务和数据管理局</w:t>
      </w:r>
      <w:r>
        <w:rPr>
          <w:rFonts w:hint="eastAsia" w:ascii="Arial" w:hAnsi="Arial" w:eastAsia="等线" w:cs="Arial"/>
          <w:b/>
          <w:color w:val="245BDB"/>
          <w:sz w:val="22"/>
          <w:lang w:val="en-US" w:eastAsia="zh-CN"/>
        </w:rPr>
        <w:t>就</w:t>
      </w:r>
      <w:r>
        <w:rPr>
          <w:rFonts w:hint="eastAsia" w:ascii="Arial" w:hAnsi="Arial" w:eastAsia="等线" w:cs="Arial"/>
          <w:b/>
          <w:color w:val="245BDB"/>
          <w:sz w:val="22"/>
        </w:rPr>
        <w:t>《广州市公共数据授权运营管理暂行办法（征求公众意见稿）》</w:t>
      </w:r>
      <w:r>
        <w:rPr>
          <w:rFonts w:hint="eastAsia" w:ascii="Arial" w:hAnsi="Arial" w:eastAsia="等线" w:cs="Arial"/>
          <w:b/>
          <w:color w:val="245BDB"/>
          <w:sz w:val="22"/>
          <w:lang w:val="en-US" w:eastAsia="zh-CN"/>
        </w:rPr>
        <w:t>公开征求</w:t>
      </w:r>
      <w:r>
        <w:rPr>
          <w:rFonts w:hint="eastAsia" w:ascii="Arial" w:hAnsi="Arial" w:eastAsia="等线" w:cs="Arial"/>
          <w:b/>
          <w:color w:val="245BDB"/>
          <w:sz w:val="22"/>
        </w:rPr>
        <w:t>意见</w:t>
      </w:r>
    </w:p>
    <w:p w14:paraId="431E5385">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DC0CA22">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规范公共数据授权运营管理，推进公共数据开发利用，充分释放公共数据的价值，结合广州市的实际情况，广州市政务服务和数据管理局起草了《广州市公共数据授权运营管理暂行办法（征求公众意见稿）》，并于2024年8月1日向社会公众公开征求意见。该办法首创“运商分离”模式：承担公共数据运营工作的机构不参与数据产品开发，数据产品的经营权100%归属于数据商。此举旨在避免运营机构利用其优势参与数据产品经营，导致市场竞争不公平。通过这种方式，办法旨在培育一个公平竞争、多方参与、收益共享的公共数据开发利用生态。</w:t>
      </w:r>
    </w:p>
    <w:p w14:paraId="397A5017">
      <w:pPr>
        <w:spacing w:before="120" w:after="120" w:line="288" w:lineRule="auto"/>
        <w:ind w:firstLine="440" w:firstLineChars="200"/>
        <w:jc w:val="left"/>
        <w:rPr>
          <w:rFonts w:hint="eastAsia" w:ascii="Arial" w:hAnsi="Arial" w:eastAsia="等线" w:cs="Arial"/>
          <w:sz w:val="22"/>
          <w:lang w:val="en-US" w:eastAsia="zh-CN"/>
        </w:rPr>
      </w:pPr>
    </w:p>
    <w:p w14:paraId="616E99AC">
      <w:pPr>
        <w:spacing w:before="120" w:after="120" w:line="288" w:lineRule="auto"/>
        <w:ind w:left="0"/>
        <w:jc w:val="left"/>
        <w:rPr>
          <w:rFonts w:hint="eastAsia" w:ascii="Arial" w:hAnsi="Arial" w:eastAsia="等线" w:cs="Arial"/>
          <w:color w:val="3370FF"/>
          <w:sz w:val="22"/>
          <w:u w:val="single"/>
        </w:rPr>
      </w:pPr>
      <w:r>
        <w:rPr>
          <w:rFonts w:ascii="Arial" w:hAnsi="Arial" w:eastAsia="等线" w:cs="Arial"/>
          <w:b/>
          <w:sz w:val="22"/>
        </w:rPr>
        <w:t>来源：</w:t>
      </w:r>
      <w:r>
        <w:rPr>
          <w:rFonts w:hint="eastAsia" w:ascii="Arial" w:hAnsi="Arial" w:eastAsia="等线" w:cs="Arial"/>
          <w:sz w:val="22"/>
          <w:lang w:val="en-US" w:eastAsia="zh-CN"/>
        </w:rPr>
        <w:t>广州市政务服务和数据管理局</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"https://zsj.gz.gov.cn/hdjlpt/yjzj/answer/mobile/37973#/index"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https://zsj.gz.gov.cn/hdjlpt/yjzj/answer/mobile/37973#/index</w:t>
      </w:r>
      <w:r>
        <w:rPr>
          <w:rFonts w:hint="eastAsia" w:ascii="Arial" w:hAnsi="Arial" w:eastAsia="等线" w:cs="Arial"/>
          <w:color w:val="3370FF"/>
          <w:sz w:val="22"/>
          <w:u w:val="single"/>
        </w:rPr>
        <w:fldChar w:fldCharType="end"/>
      </w:r>
    </w:p>
    <w:p w14:paraId="65975F90">
      <w:pPr>
        <w:spacing w:before="120" w:after="120" w:line="288" w:lineRule="auto"/>
        <w:ind w:left="0"/>
        <w:jc w:val="left"/>
        <w:rPr>
          <w:rFonts w:ascii="Arial" w:hAnsi="Arial" w:eastAsia="等线" w:cs="Arial"/>
          <w:b/>
          <w:color w:val="245BDB"/>
          <w:sz w:val="22"/>
        </w:rPr>
      </w:pPr>
    </w:p>
    <w:p w14:paraId="37428CBB">
      <w:pPr>
        <w:spacing w:before="120" w:after="120" w:line="288" w:lineRule="auto"/>
        <w:ind w:left="0"/>
        <w:jc w:val="left"/>
        <w:rPr>
          <w:rFonts w:hint="eastAsia" w:ascii="Arial" w:hAnsi="Arial" w:eastAsia="等线" w:cs="Arial"/>
          <w:color w:val="3370FF"/>
          <w:sz w:val="22"/>
          <w:u w:val="single"/>
        </w:rPr>
      </w:pPr>
    </w:p>
    <w:p w14:paraId="705CF8C2">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深圳市</w:t>
      </w:r>
      <w:r>
        <w:rPr>
          <w:rFonts w:hint="eastAsia" w:ascii="Arial" w:hAnsi="Arial" w:eastAsia="等线" w:cs="Arial"/>
          <w:b/>
          <w:color w:val="245BDB"/>
          <w:sz w:val="22"/>
        </w:rPr>
        <w:t>工业和信息化局</w:t>
      </w:r>
      <w:r>
        <w:rPr>
          <w:rFonts w:hint="eastAsia" w:ascii="Arial" w:hAnsi="Arial" w:eastAsia="等线" w:cs="Arial"/>
          <w:b/>
          <w:color w:val="245BDB"/>
          <w:sz w:val="22"/>
          <w:lang w:val="en-US" w:eastAsia="zh-CN"/>
        </w:rPr>
        <w:t>就</w:t>
      </w:r>
      <w:r>
        <w:rPr>
          <w:rFonts w:hint="eastAsia" w:ascii="Arial" w:hAnsi="Arial" w:eastAsia="等线" w:cs="Arial"/>
          <w:b/>
          <w:color w:val="245BDB"/>
          <w:sz w:val="22"/>
        </w:rPr>
        <w:t>《深圳市打造人工智能先锋城市的若干措施（征求意见稿）》</w:t>
      </w:r>
      <w:r>
        <w:rPr>
          <w:rFonts w:hint="eastAsia" w:ascii="Arial" w:hAnsi="Arial" w:eastAsia="等线" w:cs="Arial"/>
          <w:b/>
          <w:color w:val="245BDB"/>
          <w:sz w:val="22"/>
          <w:lang w:val="en-US" w:eastAsia="zh-CN"/>
        </w:rPr>
        <w:t>公开征求</w:t>
      </w:r>
      <w:r>
        <w:rPr>
          <w:rFonts w:hint="eastAsia" w:ascii="Arial" w:hAnsi="Arial" w:eastAsia="等线" w:cs="Arial"/>
          <w:b/>
          <w:color w:val="245BDB"/>
          <w:sz w:val="22"/>
        </w:rPr>
        <w:t>意见</w:t>
      </w:r>
    </w:p>
    <w:p w14:paraId="0BD2BF9F">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55DC45BF">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为积极建设国家新一代人工智能创新发展试验区和国家人工智能创新应用先导区，打造人工智能先锋城市，深圳市工业和信息化局编制起草了《深圳市打造人工智能先锋城市的若干措施（征求意见稿）》，并于2024年8月14日面向社会公众公开征求意见。该《若干措施》在加速模型研发迭代、强化算力普惠供给、加快释放数据“乘效”、推动“+AI”应用创新示范、加强科技创新能力、建设高水平人才高地、完善人工智能发展环境等方面共计提出25项优惠措施。</w:t>
      </w:r>
    </w:p>
    <w:p w14:paraId="470B8249">
      <w:pPr>
        <w:spacing w:before="120" w:after="120" w:line="288" w:lineRule="auto"/>
        <w:ind w:firstLine="440" w:firstLineChars="200"/>
        <w:jc w:val="left"/>
        <w:rPr>
          <w:rFonts w:hint="eastAsia" w:ascii="Arial" w:hAnsi="Arial" w:eastAsia="等线" w:cs="Arial"/>
          <w:sz w:val="22"/>
          <w:lang w:val="en-US" w:eastAsia="zh-CN"/>
        </w:rPr>
      </w:pPr>
    </w:p>
    <w:p w14:paraId="42F09B21">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深圳政府在线</w:t>
      </w:r>
    </w:p>
    <w:p w14:paraId="6B99E809">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"https://www.sz.gov.cn/szzt2010/wgkzl/jcgk/jcygk/zdzcjc/content/post_11498531.html"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https://www.sz.gov.cn/szzt2010/wgkzl/jcgk/jcygk/zdzcjc/content/post_11498531.html</w:t>
      </w:r>
      <w:r>
        <w:rPr>
          <w:rFonts w:hint="eastAsia" w:ascii="Arial" w:hAnsi="Arial" w:eastAsia="等线" w:cs="Arial"/>
          <w:color w:val="3370FF"/>
          <w:sz w:val="22"/>
          <w:u w:val="single"/>
        </w:rPr>
        <w:fldChar w:fldCharType="end"/>
      </w:r>
    </w:p>
    <w:p w14:paraId="372FE6CE">
      <w:pPr>
        <w:spacing w:before="120" w:after="120" w:line="288" w:lineRule="auto"/>
        <w:ind w:left="0"/>
        <w:jc w:val="left"/>
        <w:rPr>
          <w:rFonts w:ascii="Arial" w:hAnsi="Arial" w:eastAsia="等线" w:cs="Arial"/>
          <w:b/>
          <w:color w:val="245BDB"/>
          <w:sz w:val="22"/>
        </w:rPr>
      </w:pPr>
    </w:p>
    <w:p w14:paraId="7F1376DB">
      <w:pPr>
        <w:spacing w:before="120" w:after="120" w:line="288" w:lineRule="auto"/>
        <w:ind w:left="0"/>
        <w:jc w:val="left"/>
        <w:rPr>
          <w:rFonts w:ascii="Arial" w:hAnsi="Arial" w:eastAsia="等线" w:cs="Arial"/>
          <w:b/>
          <w:color w:val="245BDB"/>
          <w:sz w:val="22"/>
        </w:rPr>
      </w:pPr>
    </w:p>
    <w:p w14:paraId="0AA3B574">
      <w:pPr>
        <w:spacing w:before="120" w:after="120" w:line="288" w:lineRule="auto"/>
        <w:ind w:left="0"/>
        <w:jc w:val="left"/>
        <w:rPr>
          <w:rFonts w:hint="default" w:ascii="Arial" w:hAnsi="Arial" w:eastAsia="等线" w:cs="Arial"/>
          <w:b/>
          <w:color w:val="245BDB"/>
          <w:sz w:val="22"/>
          <w:lang w:val="en-US" w:eastAsia="zh-CN"/>
        </w:rPr>
      </w:pPr>
      <w:r>
        <w:rPr>
          <w:rFonts w:ascii="Arial" w:hAnsi="Arial" w:eastAsia="等线" w:cs="Arial"/>
          <w:b/>
          <w:color w:val="245BDB"/>
          <w:sz w:val="22"/>
        </w:rPr>
        <w:t xml:space="preserve">[数据网络] </w:t>
      </w:r>
      <w:r>
        <w:rPr>
          <w:rFonts w:hint="eastAsia" w:ascii="Arial" w:hAnsi="Arial" w:eastAsia="等线" w:cs="Arial"/>
          <w:b/>
          <w:color w:val="245BDB"/>
          <w:sz w:val="22"/>
        </w:rPr>
        <w:t>全国首部数据交易流通地方法规</w:t>
      </w:r>
      <w:r>
        <w:rPr>
          <w:rFonts w:hint="eastAsia" w:ascii="Arial" w:hAnsi="Arial" w:eastAsia="等线" w:cs="Arial"/>
          <w:b/>
          <w:color w:val="245BDB"/>
          <w:sz w:val="22"/>
          <w:lang w:eastAsia="zh-CN"/>
        </w:rPr>
        <w:t>《</w:t>
      </w:r>
      <w:r>
        <w:rPr>
          <w:rFonts w:hint="eastAsia" w:ascii="Arial" w:hAnsi="Arial" w:eastAsia="等线" w:cs="Arial"/>
          <w:b/>
          <w:color w:val="245BDB"/>
          <w:sz w:val="22"/>
        </w:rPr>
        <w:t>贵州省数据流通交易促进条例</w:t>
      </w:r>
      <w:r>
        <w:rPr>
          <w:rFonts w:hint="eastAsia" w:ascii="Arial" w:hAnsi="Arial" w:eastAsia="等线" w:cs="Arial"/>
          <w:b/>
          <w:color w:val="245BDB"/>
          <w:sz w:val="22"/>
          <w:lang w:eastAsia="zh-CN"/>
        </w:rPr>
        <w:t>》</w:t>
      </w:r>
      <w:r>
        <w:rPr>
          <w:rFonts w:hint="eastAsia" w:ascii="Arial" w:hAnsi="Arial" w:eastAsia="等线" w:cs="Arial"/>
          <w:b/>
          <w:color w:val="245BDB"/>
          <w:sz w:val="22"/>
          <w:lang w:val="en-US" w:eastAsia="zh-CN"/>
        </w:rPr>
        <w:t>实施</w:t>
      </w:r>
    </w:p>
    <w:p w14:paraId="3F92BE92">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2E6FDE9B">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8月28日，《贵州省数据流通交易促进条例》正式实施。这是全国首部关于数据交易流通的地方法规，旨在规范数据交易行为、保障数据安全、释放数据价值，推动数字经济创新发展。该条例包含总则、数据交易场所、数据授权使用、数据权益保护和数据流通交易生态培育等八个章节。条例明确，贵阳大数据交易所是贵州法定的数据交易平台，需强调其公共属性及自律合规监管功能，并服务全国市场。同时，鼓励通过合法渠道进行数据交易，支持数据互认互通。在数据授权使用方面，条例要求在保护个人隐私和确保公共安全的前提下，合法提供数据产品和服务。企业采集加工的数据应依法流通使用，加强供给激励。在数据权益保护方面，条例确保数据主体在交易中的合法权益，如数据持有、加工使用和产品经营权，以及法律或合同约定的财产性权益。在培育数据流通生态方面，条例鼓励依法采用开放、共享、交换和交易等方式流通数据，提倡技术和模式创新，推动数据采集与接口标准化，并促进数据跨区域和跨行业的流通应用。</w:t>
      </w:r>
    </w:p>
    <w:p w14:paraId="1A320CA1">
      <w:pPr>
        <w:spacing w:before="120" w:after="120" w:line="288" w:lineRule="auto"/>
        <w:jc w:val="left"/>
        <w:rPr>
          <w:rFonts w:hint="eastAsia" w:ascii="Arial" w:hAnsi="Arial" w:eastAsia="等线" w:cs="Arial"/>
          <w:sz w:val="22"/>
          <w:lang w:val="en-US" w:eastAsia="zh-CN"/>
        </w:rPr>
      </w:pPr>
    </w:p>
    <w:p w14:paraId="7789BE60">
      <w:pPr>
        <w:spacing w:before="120" w:after="120" w:line="288" w:lineRule="auto"/>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贵州省大数据发展管理局</w:t>
      </w:r>
    </w:p>
    <w:p w14:paraId="6B173048">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"https://dsj.guizhou.gov.cn/zwgk/xxgkml/zcwj/zcfg/202407/t20240731_85183967.html"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https://dsj.guizhou.gov.cn/zwgk/xxgkml/zcwj/zcfg/202407/t20240731_85183967.html</w:t>
      </w:r>
      <w:r>
        <w:rPr>
          <w:rFonts w:hint="eastAsia" w:ascii="Arial" w:hAnsi="Arial" w:eastAsia="等线" w:cs="Arial"/>
          <w:color w:val="3370FF"/>
          <w:sz w:val="22"/>
          <w:u w:val="single"/>
        </w:rPr>
        <w:fldChar w:fldCharType="end"/>
      </w:r>
    </w:p>
    <w:p w14:paraId="20AA6CFB">
      <w:pPr>
        <w:spacing w:before="120" w:after="120" w:line="288" w:lineRule="auto"/>
        <w:ind w:left="0"/>
        <w:jc w:val="left"/>
        <w:rPr>
          <w:rFonts w:hint="eastAsia" w:ascii="Arial" w:hAnsi="Arial" w:eastAsia="等线" w:cs="Arial"/>
          <w:color w:val="3370FF"/>
          <w:sz w:val="22"/>
          <w:u w:val="single"/>
        </w:rPr>
      </w:pPr>
    </w:p>
    <w:p w14:paraId="6508F851">
      <w:pPr>
        <w:spacing w:before="120" w:after="120" w:line="288" w:lineRule="auto"/>
        <w:ind w:left="0"/>
        <w:jc w:val="left"/>
        <w:rPr>
          <w:rFonts w:hint="eastAsia" w:ascii="Arial" w:hAnsi="Arial" w:eastAsia="等线" w:cs="Arial"/>
          <w:color w:val="3370FF"/>
          <w:sz w:val="22"/>
          <w:u w:val="single"/>
        </w:rPr>
      </w:pPr>
    </w:p>
    <w:p w14:paraId="7FBCCB2E">
      <w:pPr>
        <w:spacing w:before="120" w:after="120" w:line="288" w:lineRule="auto"/>
        <w:ind w:left="0"/>
        <w:jc w:val="center"/>
      </w:pPr>
      <w:r>
        <w:rPr>
          <w:rFonts w:ascii="Arial" w:hAnsi="Arial" w:eastAsia="等线" w:cs="Arial"/>
          <w:b/>
          <w:sz w:val="22"/>
        </w:rPr>
        <w:t>【审判观点】</w:t>
      </w:r>
    </w:p>
    <w:p w14:paraId="02C9FB81">
      <w:pPr>
        <w:spacing w:before="120" w:after="120" w:line="288" w:lineRule="auto"/>
        <w:ind w:left="0"/>
        <w:jc w:val="left"/>
      </w:pPr>
    </w:p>
    <w:p w14:paraId="0188130A">
      <w:pPr>
        <w:spacing w:before="120" w:after="120" w:line="288" w:lineRule="auto"/>
        <w:ind w:left="0"/>
        <w:jc w:val="left"/>
        <w:rPr>
          <w:rFonts w:hint="default" w:eastAsia="等线"/>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 xml:space="preserve"> </w:t>
      </w:r>
      <w:r>
        <w:rPr>
          <w:rFonts w:hint="eastAsia" w:ascii="Arial" w:hAnsi="Arial" w:eastAsia="等线" w:cs="Arial"/>
          <w:b/>
          <w:color w:val="245BDB"/>
          <w:sz w:val="22"/>
        </w:rPr>
        <w:t>北京互联网法院发布《服务保障新质生产力十大典型案例》</w:t>
      </w:r>
    </w:p>
    <w:p w14:paraId="3D919792">
      <w:pPr>
        <w:spacing w:before="120" w:after="120" w:line="288" w:lineRule="auto"/>
        <w:jc w:val="left"/>
        <w:rPr>
          <w:rFonts w:hint="eastAsia" w:ascii="Arial" w:hAnsi="Arial" w:eastAsia="等线" w:cs="Arial"/>
          <w:sz w:val="22"/>
          <w:lang w:val="en-US" w:eastAsia="zh-CN"/>
        </w:rPr>
      </w:pPr>
    </w:p>
    <w:p w14:paraId="02BD159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案例一：全国首例AI文生图著作权侵权案：人工智能生成内容的法律属性及权利归属的认定——李某某诉刘某某侵害作品署名权和信息网络传播权纠纷案</w:t>
      </w:r>
    </w:p>
    <w:p w14:paraId="547998B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人利用人工智能生成的内容，若符合作品的定义，则应被认定为作品，受到著作权法保护。同时人工智能生成内容若体现出使用者的独创性智力投入，则相关著作权一般应归属于人工智能使用者。</w:t>
      </w:r>
    </w:p>
    <w:p w14:paraId="0031BEE4">
      <w:pPr>
        <w:spacing w:before="120" w:after="120" w:line="288" w:lineRule="auto"/>
        <w:ind w:firstLine="440" w:firstLineChars="200"/>
        <w:jc w:val="left"/>
        <w:rPr>
          <w:rFonts w:hint="eastAsia" w:ascii="Arial" w:hAnsi="Arial" w:eastAsia="等线" w:cs="Arial"/>
          <w:sz w:val="22"/>
          <w:lang w:val="en-US" w:eastAsia="zh-CN"/>
        </w:rPr>
      </w:pPr>
    </w:p>
    <w:p w14:paraId="62A0993A">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案例二：NFT数字藏品著作权侵权案：未获著作权人授权展示、销售NFT数字藏品构成侵权——范某诉某网络科技有限公司、王某某侵害著作权纠纷案</w:t>
      </w:r>
    </w:p>
    <w:p w14:paraId="13CDBCC9">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未经许可以出售NFT数字藏品为目的展示、传播作品，构成对他人信息网络传播权的侵害。该案审理对于在NFT数字藏品交易领域加强著作权保护，规范相应市场主体行为，维护良好交易秩序具有积极意义。</w:t>
      </w:r>
    </w:p>
    <w:p w14:paraId="5CC87EAF">
      <w:pPr>
        <w:spacing w:before="120" w:after="120" w:line="288" w:lineRule="auto"/>
        <w:ind w:firstLine="440" w:firstLineChars="200"/>
        <w:jc w:val="left"/>
        <w:rPr>
          <w:rFonts w:hint="eastAsia" w:ascii="Arial" w:hAnsi="Arial" w:eastAsia="等线" w:cs="Arial"/>
          <w:sz w:val="22"/>
          <w:lang w:val="en-US" w:eastAsia="zh-CN"/>
        </w:rPr>
      </w:pPr>
    </w:p>
    <w:p w14:paraId="66E9FB52">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案例三：全国首例“车联网”著作权侵权案：车机系统提供方与作品提供方以分工合作的形式实施著作权侵权行为构成共同侵权——某计算机系统有限公司等诉某科技有限公司等侵害作品信息网络传播权纠纷案</w:t>
      </w:r>
    </w:p>
    <w:p w14:paraId="497F5E2F">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典型意义：该案明确认定车机系统提供方参与并提供车载视频播放应用软件内容定制并提供付费会员套餐服务，与作品提供方以分工合作的形式实施著作权侵权行为，构成共同侵权。</w:t>
      </w:r>
    </w:p>
    <w:p w14:paraId="3A35603B">
      <w:pPr>
        <w:spacing w:before="120" w:after="120" w:line="288" w:lineRule="auto"/>
        <w:ind w:firstLine="440" w:firstLineChars="200"/>
        <w:jc w:val="left"/>
        <w:rPr>
          <w:rFonts w:hint="eastAsia" w:ascii="Arial" w:hAnsi="Arial" w:eastAsia="等线" w:cs="Arial"/>
          <w:sz w:val="22"/>
          <w:lang w:val="en-US" w:eastAsia="zh-CN"/>
        </w:rPr>
      </w:pPr>
    </w:p>
    <w:p w14:paraId="2BB1A5C5">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案例四：全国首例涉《数据知识产权登记证》效力认定案：法院首次确认登记证对数据集合的证明效力——某科技股份公司诉某科技有限公司著作权侵权及不正当竞争纠纷案</w:t>
      </w:r>
    </w:p>
    <w:p w14:paraId="39BD193C">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首次在司法裁判中确认《数据知识产权登记证》对数据持有的证明效力，即数据知识产权登记可以作为原告享有数据财产权益的初步证据，也可以作为其数据收集行为或数据合法性来源的初步证据，为我国数据知识产权登记实践提供了有力司法支撑，也为数据产品转化为数据资产提供了有益探索。</w:t>
      </w:r>
    </w:p>
    <w:p w14:paraId="272BFB51">
      <w:pPr>
        <w:spacing w:before="120" w:after="120" w:line="288" w:lineRule="auto"/>
        <w:ind w:firstLine="440" w:firstLineChars="200"/>
        <w:jc w:val="left"/>
        <w:rPr>
          <w:rFonts w:hint="eastAsia" w:ascii="Arial" w:hAnsi="Arial" w:eastAsia="等线" w:cs="Arial"/>
          <w:sz w:val="22"/>
          <w:lang w:val="en-US" w:eastAsia="zh-CN"/>
        </w:rPr>
      </w:pPr>
    </w:p>
    <w:p w14:paraId="7E18E08F">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案例五：游戏道具财产权案：网络游戏道具可以作为网络虚拟财产予以保护——成某某诉某科技有限公司网络侵权责任案</w:t>
      </w:r>
    </w:p>
    <w:p w14:paraId="2F8472C6">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了在法律没有特别规定时，网络虚拟财产的侵权责任亦应适用过错责任原则，损害赔偿数额亦应以“填平”损失为原则，进一步提出了根据网络游戏道具的获得方式确定损害赔偿数额这一可操作性的标准，为类似案件的审理提供了指引。</w:t>
      </w:r>
    </w:p>
    <w:p w14:paraId="4F467B8D">
      <w:pPr>
        <w:spacing w:before="120" w:after="120" w:line="288" w:lineRule="auto"/>
        <w:ind w:firstLine="440" w:firstLineChars="200"/>
        <w:jc w:val="left"/>
        <w:rPr>
          <w:rFonts w:hint="eastAsia" w:ascii="Arial" w:hAnsi="Arial" w:eastAsia="等线" w:cs="Arial"/>
          <w:sz w:val="22"/>
          <w:lang w:val="en-US" w:eastAsia="zh-CN"/>
        </w:rPr>
      </w:pPr>
    </w:p>
    <w:p w14:paraId="4BC0923C">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案例六：“AI陪伴”案：未经同意创造以自然人的AI形象构成对人格权的侵害——何某诉某科技公司网络侵权责任纠纷案</w:t>
      </w:r>
    </w:p>
    <w:p w14:paraId="2AD38352">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自然人的人格权及于其虚拟形象，未经许可擅自创设、使用自然人虚拟形象的，构成对自然人人格权的侵害；网络服务提供者通过算法设计实质参与了侵权内容的生成和提供，应按照内容服务提供者承担侵权责任。</w:t>
      </w:r>
    </w:p>
    <w:p w14:paraId="70F1291C">
      <w:pPr>
        <w:spacing w:before="120" w:after="120" w:line="288" w:lineRule="auto"/>
        <w:ind w:firstLine="440" w:firstLineChars="200"/>
        <w:jc w:val="left"/>
        <w:rPr>
          <w:rFonts w:hint="eastAsia" w:ascii="Arial" w:hAnsi="Arial" w:eastAsia="等线" w:cs="Arial"/>
          <w:sz w:val="22"/>
          <w:lang w:val="en-US" w:eastAsia="zh-CN"/>
        </w:rPr>
      </w:pPr>
    </w:p>
    <w:p w14:paraId="1C467F80">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案例七：全国首例AI生成声音侵权案：自然人声音权益可及于AI生成声音——殷某某诉某智能科技公司等人格权侵权案</w:t>
      </w:r>
    </w:p>
    <w:p w14:paraId="68EA4125">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声音作为一种人格权益，具有人身专属性，自然人声音权益及于利用人工智能合成的声音，对录音制品的授权并不意味着对声音AI化的授权，未经权利人许可，擅自使用或许可他人使用录音制品中的声音构成侵权。</w:t>
      </w:r>
    </w:p>
    <w:p w14:paraId="328FE437">
      <w:pPr>
        <w:spacing w:before="120" w:after="120" w:line="288" w:lineRule="auto"/>
        <w:ind w:firstLine="440" w:firstLineChars="200"/>
        <w:jc w:val="left"/>
        <w:rPr>
          <w:rFonts w:hint="eastAsia" w:ascii="Arial" w:hAnsi="Arial" w:eastAsia="等线" w:cs="Arial"/>
          <w:sz w:val="22"/>
          <w:lang w:val="en-US" w:eastAsia="zh-CN"/>
        </w:rPr>
      </w:pPr>
    </w:p>
    <w:p w14:paraId="6BE1E7D0">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案例八：“AI换脸”案：未经授权对包含他人肖像的视频进行“AI换脸”处理，构成对他人个人信息权益的侵害——廖某诉某科技文化有限公司网络侵权责任纠纷案</w:t>
      </w:r>
    </w:p>
    <w:p w14:paraId="65C740A8">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了肖像权“可识别性”不局限于面部，但应当主要集中于自然人的个人生理特征，避免肖像权的任意扩张影响妆容、造型等领域的合法使用及创作传播。该案围绕“AI换脸”这一新商业模式，对肖像权、个人信息权益及基于劳动创造投入的合法权益进行准确区分，既维护自然人的合法权益，又为人工智能技术和新兴产业发展留有合理空间，对于服务和保障数字经济规范健康发展有重要意义。</w:t>
      </w:r>
    </w:p>
    <w:p w14:paraId="0276BBE4">
      <w:pPr>
        <w:spacing w:before="120" w:after="120" w:line="288" w:lineRule="auto"/>
        <w:ind w:firstLine="440" w:firstLineChars="200"/>
        <w:jc w:val="left"/>
        <w:rPr>
          <w:rFonts w:hint="eastAsia" w:ascii="Arial" w:hAnsi="Arial" w:eastAsia="等线" w:cs="Arial"/>
          <w:sz w:val="22"/>
          <w:lang w:val="en-US" w:eastAsia="zh-CN"/>
        </w:rPr>
      </w:pPr>
    </w:p>
    <w:p w14:paraId="2FC1EB33">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案例九：企业间共享个人信息案：企业间共享个人信息应征得个人单独同意——吕某诉某信息技术公司网络侵权责任纠纷案</w:t>
      </w:r>
    </w:p>
    <w:p w14:paraId="36B62715">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典型意义：该案明确了企业间共享个人信息需征得个人单独同意的具体认定标准，为企业保护个人信息和规范数据利用提供了明确的行为指引，有利于激发数据要素市场活力，促进数据利用的规范有序。</w:t>
      </w:r>
    </w:p>
    <w:p w14:paraId="3915789D">
      <w:pPr>
        <w:spacing w:before="120" w:after="120" w:line="288" w:lineRule="auto"/>
        <w:ind w:firstLine="440" w:firstLineChars="200"/>
        <w:jc w:val="left"/>
        <w:rPr>
          <w:rFonts w:hint="eastAsia" w:ascii="Arial" w:hAnsi="Arial" w:eastAsia="等线" w:cs="Arial"/>
          <w:sz w:val="22"/>
          <w:lang w:val="en-US" w:eastAsia="zh-CN"/>
        </w:rPr>
      </w:pPr>
    </w:p>
    <w:p w14:paraId="54C0D523">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案例十：消费投诉平台付费入驻案：平台商业模式及运作机制存在过错应对不实投诉信息承担直接侵权责任——某科技公司诉某互联网公司网络侵权责任纠纷案</w:t>
      </w:r>
    </w:p>
    <w:p w14:paraId="4850E28B">
      <w:pPr>
        <w:spacing w:before="120" w:after="120" w:line="288" w:lineRule="auto"/>
        <w:ind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典型意义：该案明确消费投诉平台强制要求被投诉企业须付费入驻投诉平台才能回复投诉，利用不合理的平台规则获取会员收益，系属于内容服务提供者，主观上构成过错，构成名誉权侵权。</w:t>
      </w:r>
    </w:p>
    <w:p w14:paraId="4730C0D0">
      <w:pPr>
        <w:spacing w:before="120" w:after="120" w:line="288" w:lineRule="auto"/>
        <w:ind w:firstLine="440" w:firstLineChars="200"/>
        <w:jc w:val="left"/>
        <w:rPr>
          <w:rFonts w:hint="default" w:ascii="Arial" w:hAnsi="Arial" w:eastAsia="等线" w:cs="Arial"/>
          <w:sz w:val="22"/>
          <w:lang w:val="en-US" w:eastAsia="zh-CN"/>
        </w:rPr>
      </w:pPr>
    </w:p>
    <w:p w14:paraId="18712B66">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b w:val="0"/>
          <w:bCs/>
          <w:sz w:val="22"/>
          <w:lang w:val="en-US" w:eastAsia="zh-CN"/>
        </w:rPr>
        <w:t>北京互联网法院微信公众号</w:t>
      </w:r>
    </w:p>
    <w:p w14:paraId="0A895996">
      <w:pPr>
        <w:spacing w:before="120" w:after="120" w:line="288" w:lineRule="auto"/>
        <w:ind w:left="0"/>
        <w:jc w:val="center"/>
        <w:rPr>
          <w:rFonts w:ascii="Arial" w:hAnsi="Arial" w:eastAsia="等线" w:cs="Arial"/>
          <w:b/>
          <w:sz w:val="22"/>
        </w:rPr>
      </w:pPr>
      <w:r>
        <w:rPr>
          <w:rFonts w:hint="eastAsia" w:ascii="Arial" w:hAnsi="Arial" w:eastAsia="等线" w:cs="Arial"/>
          <w:color w:val="3370FF"/>
          <w:sz w:val="22"/>
          <w:u w:val="single"/>
        </w:rPr>
        <w:t>https://mp.weixin.qq.com/s/MATodD4UFCg2iU6Bc2tfVg?scene=25#wechat_redirect</w:t>
      </w:r>
    </w:p>
    <w:p w14:paraId="47218DFE">
      <w:pPr>
        <w:spacing w:before="120" w:after="120" w:line="288" w:lineRule="auto"/>
        <w:ind w:left="0"/>
        <w:jc w:val="center"/>
        <w:rPr>
          <w:rFonts w:ascii="Arial" w:hAnsi="Arial" w:eastAsia="等线" w:cs="Arial"/>
          <w:b/>
          <w:sz w:val="22"/>
        </w:rPr>
      </w:pPr>
    </w:p>
    <w:p w14:paraId="19DAC3B0">
      <w:pPr>
        <w:spacing w:before="120" w:after="120" w:line="288" w:lineRule="auto"/>
        <w:ind w:left="0"/>
        <w:jc w:val="center"/>
        <w:rPr>
          <w:rFonts w:ascii="Arial" w:hAnsi="Arial" w:eastAsia="等线" w:cs="Arial"/>
          <w:b/>
          <w:sz w:val="22"/>
        </w:rPr>
      </w:pPr>
    </w:p>
    <w:p w14:paraId="301B23AB">
      <w:pPr>
        <w:spacing w:before="120" w:after="120" w:line="288" w:lineRule="auto"/>
        <w:ind w:left="0"/>
        <w:jc w:val="center"/>
      </w:pPr>
      <w:r>
        <w:rPr>
          <w:rFonts w:ascii="Arial" w:hAnsi="Arial" w:eastAsia="等线" w:cs="Arial"/>
          <w:b/>
          <w:sz w:val="22"/>
        </w:rPr>
        <w:t>【实务指引】</w:t>
      </w:r>
    </w:p>
    <w:p w14:paraId="30B8F573">
      <w:pPr>
        <w:spacing w:before="120" w:after="120" w:line="288" w:lineRule="auto"/>
        <w:ind w:left="0"/>
        <w:jc w:val="left"/>
      </w:pPr>
    </w:p>
    <w:p w14:paraId="2E9AB650">
      <w:pPr>
        <w:spacing w:before="120" w:after="120" w:line="288" w:lineRule="auto"/>
        <w:ind w:left="0"/>
        <w:jc w:val="left"/>
        <w:rPr>
          <w:rFonts w:ascii="Arial" w:hAnsi="Arial" w:eastAsia="等线" w:cs="Arial"/>
          <w:sz w:val="22"/>
        </w:rPr>
      </w:pPr>
      <w:r>
        <w:rPr>
          <w:rFonts w:ascii="Arial" w:hAnsi="Arial" w:eastAsia="等线" w:cs="Arial"/>
          <w:b/>
          <w:color w:val="245BDB"/>
          <w:sz w:val="22"/>
        </w:rPr>
        <w:t xml:space="preserve">[数据网络] </w:t>
      </w:r>
      <w:r>
        <w:rPr>
          <w:rFonts w:hint="eastAsia" w:ascii="Arial" w:hAnsi="Arial" w:eastAsia="等线" w:cs="Arial"/>
          <w:b/>
          <w:color w:val="245BDB"/>
          <w:sz w:val="22"/>
        </w:rPr>
        <w:t>互联网专条在数据权益保护案件中的适用——《反不正当竞争法》第十二条的适用与裁判思路分析</w:t>
      </w:r>
      <w:r>
        <w:rPr>
          <w:rFonts w:ascii="Arial" w:hAnsi="Arial" w:eastAsia="等线" w:cs="Arial"/>
          <w:sz w:val="22"/>
        </w:rPr>
        <w:t xml:space="preserve">    </w:t>
      </w:r>
    </w:p>
    <w:p w14:paraId="72135FBC">
      <w:pPr>
        <w:spacing w:before="120" w:after="120" w:line="288" w:lineRule="auto"/>
        <w:ind w:left="0"/>
        <w:jc w:val="left"/>
        <w:rPr>
          <w:rFonts w:ascii="Arial" w:hAnsi="Arial" w:eastAsia="等线" w:cs="Arial"/>
          <w:sz w:val="22"/>
        </w:rPr>
      </w:pPr>
    </w:p>
    <w:p w14:paraId="373B50F8">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反不正当竞争法》中的“互联网专条”主要针对网络领域中的不正当竞争行为，包括数据抓取与使用等。该条款规定了具体的行为类型和兜底性质的其他行为模式，即使被诉行为不符合具体方式，也需满足妨碍或破坏其他经营者服务正常运行的条件。尽管在司法实践中对于该条款是否适用于数据相关行为存在争议，多数判决认为应适用此法并认定构成不正当竞争。法院在解释兜底条款时应保持审慎，考虑与一般条款的关系，确保法律解释的一致性和合理性。</w:t>
      </w:r>
    </w:p>
    <w:p w14:paraId="0EFB373E">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在裁判侵害数据权益案件时，法院采用权益保护和行为分析两种基本范式，评估行为是否侵犯合法权益及其对市场竞争的影响。根据不同案件类型，法院会侧重不同的考量因素，如直接抓取和使用数据行为主要关注是否干扰服务运行，复杂侵害行为则考虑对服务运行和数据安全的影响。</w:t>
      </w:r>
    </w:p>
    <w:p w14:paraId="3F30CCA2">
      <w:pPr>
        <w:spacing w:before="120" w:after="120" w:line="288" w:lineRule="auto"/>
        <w:ind w:firstLine="440" w:firstLineChars="200"/>
        <w:jc w:val="left"/>
        <w:rPr>
          <w:rFonts w:hint="eastAsia" w:ascii="Arial" w:hAnsi="Arial" w:eastAsia="等线" w:cs="Arial"/>
          <w:sz w:val="22"/>
        </w:rPr>
      </w:pPr>
      <w:r>
        <w:rPr>
          <w:rFonts w:hint="eastAsia" w:ascii="Arial" w:hAnsi="Arial" w:eastAsia="等线" w:cs="Arial"/>
          <w:sz w:val="22"/>
        </w:rPr>
        <w:t>原告在诉讼中可以同时依据《反不正当竞争法》第十二条和第二条提出主张，以增加胜诉机会。被告则可以从行为未妨碍服务运行和未造成数据安全隐患等方面进行抗辩，强调数据的流动性、公开性和用户授权合法性。总之，处理这类案件时，法院会根据行为的具体情形和影响程度采取相应的分析和论证方法。</w:t>
      </w:r>
    </w:p>
    <w:p w14:paraId="1FFB2027">
      <w:pPr>
        <w:spacing w:before="120" w:after="120" w:line="288" w:lineRule="auto"/>
        <w:ind w:firstLine="440" w:firstLineChars="200"/>
        <w:jc w:val="left"/>
        <w:rPr>
          <w:rFonts w:hint="eastAsia" w:ascii="Arial" w:hAnsi="Arial" w:eastAsia="等线" w:cs="Arial"/>
          <w:sz w:val="22"/>
        </w:rPr>
      </w:pPr>
    </w:p>
    <w:p w14:paraId="5C99C58E">
      <w:pPr>
        <w:spacing w:before="120" w:after="120" w:line="288" w:lineRule="auto"/>
        <w:ind w:left="0"/>
        <w:jc w:val="left"/>
        <w:rPr>
          <w:rFonts w:hint="eastAsia" w:ascii="Arial" w:hAnsi="Arial" w:eastAsia="等线" w:cs="Arial"/>
          <w:sz w:val="22"/>
          <w:lang w:val="en-US" w:eastAsia="zh-CN"/>
        </w:rPr>
      </w:pPr>
      <w:r>
        <w:rPr>
          <w:rFonts w:ascii="Arial" w:hAnsi="Arial" w:eastAsia="等线" w:cs="Arial"/>
          <w:b/>
          <w:sz w:val="22"/>
        </w:rPr>
        <w:t>提供人：</w:t>
      </w:r>
      <w:r>
        <w:rPr>
          <w:rFonts w:hint="eastAsia" w:ascii="Arial" w:hAnsi="Arial" w:eastAsia="等线" w:cs="Arial"/>
          <w:sz w:val="22"/>
          <w:lang w:val="en-US" w:eastAsia="zh-CN"/>
        </w:rPr>
        <w:t>庆辉 完颜雨倩</w:t>
      </w:r>
    </w:p>
    <w:p w14:paraId="521099FC">
      <w:pPr>
        <w:spacing w:before="120" w:after="120" w:line="288" w:lineRule="auto"/>
        <w:ind w:left="0"/>
        <w:jc w:val="left"/>
        <w:rPr>
          <w:rFonts w:hint="default" w:eastAsia="等线"/>
          <w:lang w:eastAsia="zh-CN"/>
        </w:rPr>
      </w:pPr>
      <w:r>
        <w:rPr>
          <w:rFonts w:ascii="Arial" w:hAnsi="Arial" w:eastAsia="等线" w:cs="Arial"/>
          <w:b/>
          <w:sz w:val="22"/>
        </w:rPr>
        <w:t>来源：</w:t>
      </w:r>
      <w:r>
        <w:rPr>
          <w:rFonts w:ascii="Arial" w:hAnsi="Arial" w:eastAsia="等线" w:cs="Arial"/>
          <w:b w:val="0"/>
          <w:bCs/>
          <w:sz w:val="22"/>
        </w:rPr>
        <w:t>安杰世泽律师事务所微信公众号</w:t>
      </w:r>
    </w:p>
    <w:p w14:paraId="4583A864">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https://mp.weixin.qq.com/s/mTV6Cb_ufQz3ydPe8Mp19g</w:t>
      </w:r>
    </w:p>
    <w:p w14:paraId="0BB662C8">
      <w:pPr>
        <w:spacing w:before="120" w:after="120" w:line="288" w:lineRule="auto"/>
        <w:ind w:left="0"/>
        <w:jc w:val="center"/>
        <w:rPr>
          <w:rFonts w:ascii="Arial" w:hAnsi="Arial" w:eastAsia="等线" w:cs="Arial"/>
          <w:b/>
          <w:sz w:val="22"/>
        </w:rPr>
      </w:pPr>
    </w:p>
    <w:p w14:paraId="522EC5D2">
      <w:pPr>
        <w:spacing w:before="120" w:after="120" w:line="288" w:lineRule="auto"/>
        <w:ind w:left="0"/>
        <w:jc w:val="center"/>
        <w:rPr>
          <w:rFonts w:ascii="Arial" w:hAnsi="Arial" w:eastAsia="等线" w:cs="Arial"/>
          <w:b/>
          <w:sz w:val="22"/>
        </w:rPr>
      </w:pPr>
    </w:p>
    <w:p w14:paraId="079A4B29">
      <w:pPr>
        <w:spacing w:before="120" w:after="120" w:line="288" w:lineRule="auto"/>
        <w:ind w:left="0"/>
        <w:jc w:val="center"/>
      </w:pPr>
      <w:r>
        <w:rPr>
          <w:rFonts w:ascii="Arial" w:hAnsi="Arial" w:eastAsia="等线" w:cs="Arial"/>
          <w:b/>
          <w:sz w:val="22"/>
        </w:rPr>
        <w:t>【法律产品】</w:t>
      </w:r>
    </w:p>
    <w:p w14:paraId="449330C6">
      <w:pPr>
        <w:spacing w:before="120" w:after="120" w:line="288" w:lineRule="auto"/>
        <w:ind w:left="0"/>
        <w:jc w:val="left"/>
      </w:pPr>
    </w:p>
    <w:p w14:paraId="11A8DE68">
      <w:pPr>
        <w:spacing w:before="120" w:after="120" w:line="288" w:lineRule="auto"/>
        <w:ind w:left="0"/>
        <w:jc w:val="left"/>
        <w:rPr>
          <w:rFonts w:hint="eastAsia" w:ascii="Arial" w:hAnsi="Arial" w:eastAsia="等线" w:cs="Arial"/>
          <w:b/>
          <w:color w:val="245BDB"/>
          <w:sz w:val="22"/>
          <w:lang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eastAsia="zh-CN"/>
        </w:rPr>
        <w:t>闵行区打造“晓法数智”人工智能法律咨询产品</w:t>
      </w:r>
    </w:p>
    <w:p w14:paraId="62FFEF84">
      <w:pPr>
        <w:spacing w:before="120" w:after="120" w:line="288" w:lineRule="auto"/>
        <w:ind w:left="0"/>
        <w:jc w:val="left"/>
        <w:rPr>
          <w:rFonts w:hint="eastAsia" w:ascii="Arial" w:hAnsi="Arial" w:eastAsia="等线" w:cs="Arial"/>
          <w:b/>
          <w:color w:val="245BDB"/>
          <w:sz w:val="22"/>
          <w:lang w:eastAsia="zh-CN"/>
        </w:rPr>
      </w:pPr>
    </w:p>
    <w:p w14:paraId="525500E6">
      <w:pPr>
        <w:spacing w:before="120" w:after="120" w:line="288" w:lineRule="auto"/>
        <w:ind w:firstLine="440" w:firstLineChars="200"/>
        <w:jc w:val="left"/>
        <w:rPr>
          <w:rFonts w:hint="default" w:ascii="Arial" w:hAnsi="Arial" w:eastAsia="等线" w:cs="Arial"/>
          <w:sz w:val="22"/>
          <w:lang w:val="en-US" w:eastAsia="zh-CN"/>
        </w:rPr>
      </w:pPr>
      <w:r>
        <w:rPr>
          <w:rFonts w:hint="eastAsia" w:ascii="Arial" w:hAnsi="Arial" w:eastAsia="等线" w:cs="Arial"/>
          <w:sz w:val="22"/>
          <w:lang w:val="en-US" w:eastAsia="zh-CN"/>
        </w:rPr>
        <w:t>闵行区</w:t>
      </w:r>
      <w:r>
        <w:rPr>
          <w:rFonts w:hint="default" w:ascii="Arial" w:hAnsi="Arial" w:eastAsia="等线" w:cs="Arial"/>
          <w:sz w:val="22"/>
          <w:lang w:val="en-US" w:eastAsia="zh-CN"/>
        </w:rPr>
        <w:t>司法局推出了名为“晓法数智”的人工智能法律咨询产品，该产品基于350万条法律法规和1.5亿个案例进行训练，提供即时法律咨询服务。它集成了智能回答、语音输入输出和中英文翻译等功能，能在一分钟内提供详尽的法律解答。同时，产品遵循法律规范，避免敏感信息处理，并设有24小时人工律师咨询服务以处理复杂问题。自推出以来，已免费向271.7万居民提供服务，未来计划扩大服务范围，优化功能，并接入更多公共服务平台，以促进企业合规和政务服务智能化。</w:t>
      </w:r>
    </w:p>
    <w:p w14:paraId="01163F44">
      <w:pPr>
        <w:spacing w:before="120" w:after="120" w:line="288" w:lineRule="auto"/>
        <w:ind w:left="0" w:firstLine="440" w:firstLineChars="200"/>
        <w:jc w:val="left"/>
        <w:rPr>
          <w:rFonts w:hint="default" w:ascii="Arial" w:hAnsi="Arial" w:eastAsia="等线" w:cs="Arial"/>
          <w:sz w:val="22"/>
          <w:lang w:val="en-US" w:eastAsia="zh-CN"/>
        </w:rPr>
      </w:pPr>
    </w:p>
    <w:p w14:paraId="20D1FF5E">
      <w:pPr>
        <w:spacing w:before="120" w:after="120" w:line="288" w:lineRule="auto"/>
        <w:ind w:left="0"/>
        <w:jc w:val="left"/>
        <w:rPr>
          <w:rFonts w:hint="default" w:eastAsia="等线"/>
          <w:lang w:val="en-US" w:eastAsia="zh-CN"/>
        </w:rPr>
      </w:pPr>
      <w:r>
        <w:rPr>
          <w:rFonts w:ascii="Arial" w:hAnsi="Arial" w:eastAsia="等线" w:cs="Arial"/>
          <w:b/>
          <w:sz w:val="22"/>
        </w:rPr>
        <w:t>来源：</w:t>
      </w:r>
      <w:r>
        <w:rPr>
          <w:rFonts w:hint="eastAsia" w:ascii="Arial" w:hAnsi="Arial" w:eastAsia="等线" w:cs="Arial"/>
          <w:b w:val="0"/>
          <w:bCs/>
          <w:sz w:val="22"/>
          <w:lang w:val="en-US" w:eastAsia="zh-CN"/>
        </w:rPr>
        <w:t>上海市司法局微信公众号</w:t>
      </w:r>
    </w:p>
    <w:p w14:paraId="15F48285">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t>https://mp.weixin.qq.com/s/yR_jv9g9DLSROpRox4pZPQ</w:t>
      </w:r>
    </w:p>
    <w:p w14:paraId="69D14B91">
      <w:pPr>
        <w:spacing w:before="120" w:after="120" w:line="288" w:lineRule="auto"/>
        <w:ind w:left="0"/>
        <w:jc w:val="center"/>
        <w:rPr>
          <w:rFonts w:ascii="Arial" w:hAnsi="Arial" w:eastAsia="等线" w:cs="Arial"/>
          <w:b/>
          <w:sz w:val="22"/>
        </w:rPr>
      </w:pPr>
    </w:p>
    <w:p w14:paraId="28E032FA">
      <w:pPr>
        <w:spacing w:before="120" w:after="120" w:line="288" w:lineRule="auto"/>
        <w:ind w:left="0"/>
        <w:jc w:val="center"/>
        <w:rPr>
          <w:rFonts w:ascii="Arial" w:hAnsi="Arial" w:eastAsia="等线" w:cs="Arial"/>
          <w:b/>
          <w:sz w:val="22"/>
        </w:rPr>
      </w:pPr>
    </w:p>
    <w:p w14:paraId="7D7F2637">
      <w:pPr>
        <w:spacing w:before="120" w:after="120" w:line="288" w:lineRule="auto"/>
        <w:ind w:left="0"/>
        <w:jc w:val="center"/>
      </w:pPr>
      <w:r>
        <w:rPr>
          <w:rFonts w:ascii="Arial" w:hAnsi="Arial" w:eastAsia="等线" w:cs="Arial"/>
          <w:b/>
          <w:sz w:val="22"/>
        </w:rPr>
        <w:t>【动态信息】</w:t>
      </w:r>
    </w:p>
    <w:p w14:paraId="0150EC79">
      <w:pPr>
        <w:spacing w:before="120" w:after="120" w:line="288" w:lineRule="auto"/>
        <w:ind w:left="0"/>
        <w:jc w:val="left"/>
      </w:pPr>
      <w:r>
        <w:rPr>
          <w:rFonts w:ascii="Arial" w:hAnsi="Arial" w:eastAsia="等线" w:cs="Arial"/>
          <w:sz w:val="22"/>
        </w:rPr>
        <w:t xml:space="preserve"> </w:t>
      </w:r>
    </w:p>
    <w:p w14:paraId="6C02461B">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《网络暴力信息治理规定》自2024年8月1日起施行</w:t>
      </w:r>
    </w:p>
    <w:p w14:paraId="33C797B7">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765791F2">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网络暴力信息治理规定》由国家互联网信息办公室、公安部、文化和旅游部及国家广播电视总局联合发布，将于2024年8月1日正式实施。该规定旨在加强网络暴力信息的治理，通过明确管理责任、建立预防机制、规范信息处置和账号处理、强化用户权益保护、加强监督管理，并明确法律责任。同时，规定提出源头防范、防控结合、标本兼治和协同共治的治理原则，建立监督管理机制，鼓励行业组织加强自律。</w:t>
      </w:r>
    </w:p>
    <w:p w14:paraId="4FBF1600">
      <w:pPr>
        <w:spacing w:before="120" w:after="120" w:line="288" w:lineRule="auto"/>
        <w:ind w:firstLine="440" w:firstLineChars="200"/>
        <w:jc w:val="left"/>
        <w:rPr>
          <w:rFonts w:hint="default" w:ascii="Arial" w:hAnsi="Arial" w:eastAsia="等线" w:cs="Arial"/>
          <w:sz w:val="22"/>
          <w:lang w:val="en-US" w:eastAsia="zh-CN"/>
        </w:rPr>
      </w:pPr>
    </w:p>
    <w:p w14:paraId="343AE42E">
      <w:pPr>
        <w:spacing w:before="120" w:after="120" w:line="288" w:lineRule="auto"/>
        <w:ind w:left="0"/>
        <w:jc w:val="left"/>
        <w:rPr>
          <w:rFonts w:hint="eastAsia" w:eastAsia="等线"/>
          <w:lang w:eastAsia="zh-CN"/>
        </w:rPr>
      </w:pPr>
      <w:r>
        <w:rPr>
          <w:rFonts w:ascii="Arial" w:hAnsi="Arial" w:eastAsia="等线" w:cs="Arial"/>
          <w:b/>
          <w:sz w:val="22"/>
        </w:rPr>
        <w:t>来源：</w:t>
      </w:r>
      <w:r>
        <w:rPr>
          <w:rFonts w:hint="eastAsia" w:ascii="Arial" w:hAnsi="Arial" w:eastAsia="等线" w:cs="Arial"/>
          <w:sz w:val="22"/>
          <w:lang w:val="en-US" w:eastAsia="zh-CN"/>
        </w:rPr>
        <w:t>人民网</w:t>
      </w:r>
    </w:p>
    <w:p w14:paraId="6F6D33A1">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"http://society.people.com.cn/n1/2024/0614/c1008-40256918.html" </w:instrText>
      </w:r>
      <w:r>
        <w:rPr>
          <w:rFonts w:hint="eastAsia" w:ascii="Arial" w:hAnsi="Arial" w:eastAsia="等线" w:cs="Arial"/>
          <w:color w:val="3370FF"/>
          <w:sz w:val="22"/>
          <w:u w:val="single"/>
        </w:rPr>
        <w:fldChar w:fldCharType="separate"/>
      </w:r>
      <w:r>
        <w:rPr>
          <w:rFonts w:hint="eastAsia" w:ascii="Arial" w:hAnsi="Arial" w:eastAsia="等线" w:cs="Arial"/>
          <w:color w:val="3370FF"/>
          <w:sz w:val="22"/>
          <w:u w:val="single"/>
        </w:rPr>
        <w:t>http://society.people.com.cn/n1/2024/0614/c1008-40256918.html</w:t>
      </w:r>
      <w:r>
        <w:rPr>
          <w:rFonts w:hint="eastAsia" w:ascii="Arial" w:hAnsi="Arial" w:eastAsia="等线" w:cs="Arial"/>
          <w:color w:val="3370FF"/>
          <w:sz w:val="22"/>
          <w:u w:val="single"/>
        </w:rPr>
        <w:fldChar w:fldCharType="end"/>
      </w:r>
    </w:p>
    <w:p w14:paraId="04B7BCA2">
      <w:pPr>
        <w:spacing w:before="120" w:after="120" w:line="288" w:lineRule="auto"/>
        <w:ind w:left="0"/>
        <w:jc w:val="left"/>
      </w:pPr>
    </w:p>
    <w:p w14:paraId="144EBAF2">
      <w:pPr>
        <w:spacing w:before="120" w:after="120" w:line="288" w:lineRule="auto"/>
        <w:ind w:left="0"/>
        <w:jc w:val="left"/>
      </w:pPr>
    </w:p>
    <w:p w14:paraId="63549418">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国家标准化管理委员会拟成立全国数据标准化技术委员会</w:t>
      </w:r>
    </w:p>
    <w:p w14:paraId="7BE5CDC8">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4E118855">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国家标准化管理委员会计划成立全国数据标准化技术委员会，以推动数据资源、技术、流通等方面的国家标准制修订。该委员会由98名委员组成，刘烈宏担任主任委员，夏冰等人为副主任委员，杨建军兼任秘书长。秘书处设在中国电子技术标准化研究院。此外，委员会的工作将与国际标准化组织中的数据管理与交换、智慧城市和人工智能数据工作领域相对应。日常管理和业务指导由国家数据局负责。</w:t>
      </w:r>
    </w:p>
    <w:p w14:paraId="399FDA09">
      <w:pPr>
        <w:spacing w:before="120" w:after="120" w:line="288" w:lineRule="auto"/>
        <w:ind w:firstLine="440" w:firstLineChars="200"/>
        <w:jc w:val="left"/>
        <w:rPr>
          <w:rFonts w:hint="default" w:ascii="Arial" w:hAnsi="Arial" w:eastAsia="等线" w:cs="Arial"/>
          <w:sz w:val="22"/>
          <w:lang w:val="en-US" w:eastAsia="zh-CN"/>
        </w:rPr>
      </w:pPr>
    </w:p>
    <w:p w14:paraId="38E29CF2">
      <w:pPr>
        <w:spacing w:before="120" w:after="120" w:line="288" w:lineRule="auto"/>
        <w:ind w:left="0"/>
        <w:jc w:val="left"/>
        <w:rPr>
          <w:rFonts w:hint="eastAsia" w:eastAsia="等线"/>
          <w:b w:val="0"/>
          <w:bCs/>
          <w:lang w:eastAsia="zh-CN"/>
        </w:rPr>
      </w:pPr>
      <w:r>
        <w:rPr>
          <w:rFonts w:ascii="Arial" w:hAnsi="Arial" w:eastAsia="等线" w:cs="Arial"/>
          <w:b/>
          <w:sz w:val="22"/>
        </w:rPr>
        <w:t>来源：</w:t>
      </w:r>
      <w:r>
        <w:rPr>
          <w:rFonts w:hint="eastAsia" w:ascii="Arial" w:hAnsi="Arial" w:eastAsia="等线" w:cs="Arial"/>
          <w:b w:val="0"/>
          <w:bCs/>
          <w:sz w:val="22"/>
        </w:rPr>
        <w:t>中国国家标准化管理委员会</w:t>
      </w:r>
    </w:p>
    <w:p w14:paraId="39234018">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"http://org.sacinfo.org.cn:8088/tcrm/html/10024.html"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http://org.sacinfo.org.cn:8088/tcrm/html/10024.html</w:t>
      </w:r>
      <w:r>
        <w:rPr>
          <w:rFonts w:hint="eastAsia" w:ascii="Arial" w:hAnsi="Arial" w:eastAsia="等线" w:cs="Arial"/>
          <w:color w:val="3370FF"/>
          <w:sz w:val="22"/>
          <w:u w:val="single"/>
        </w:rPr>
        <w:fldChar w:fldCharType="end"/>
      </w:r>
    </w:p>
    <w:p w14:paraId="022D95E7">
      <w:pPr>
        <w:spacing w:before="120" w:after="120" w:line="288" w:lineRule="auto"/>
        <w:ind w:left="0"/>
        <w:jc w:val="left"/>
        <w:rPr>
          <w:rFonts w:hint="eastAsia" w:ascii="Arial" w:hAnsi="Arial" w:eastAsia="等线" w:cs="Arial"/>
          <w:color w:val="3370FF"/>
          <w:sz w:val="22"/>
          <w:u w:val="single"/>
        </w:rPr>
      </w:pPr>
    </w:p>
    <w:p w14:paraId="46AD8D0B">
      <w:pPr>
        <w:spacing w:before="120" w:after="120" w:line="288" w:lineRule="auto"/>
        <w:ind w:left="0"/>
        <w:jc w:val="left"/>
        <w:rPr>
          <w:rFonts w:hint="eastAsia" w:ascii="Arial" w:hAnsi="Arial" w:eastAsia="等线" w:cs="Arial"/>
          <w:color w:val="3370FF"/>
          <w:sz w:val="22"/>
          <w:u w:val="single"/>
        </w:rPr>
      </w:pPr>
    </w:p>
    <w:p w14:paraId="0E5B6082">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电子商务</w:t>
      </w:r>
      <w:r>
        <w:rPr>
          <w:rFonts w:ascii="Arial" w:hAnsi="Arial" w:eastAsia="等线" w:cs="Arial"/>
          <w:b/>
          <w:color w:val="245BDB"/>
          <w:sz w:val="22"/>
        </w:rPr>
        <w:t xml:space="preserve">] </w:t>
      </w:r>
      <w:r>
        <w:rPr>
          <w:rFonts w:hint="eastAsia" w:ascii="Arial" w:hAnsi="Arial" w:eastAsia="等线" w:cs="Arial"/>
          <w:b/>
          <w:color w:val="245BDB"/>
          <w:sz w:val="22"/>
        </w:rPr>
        <w:t>五大互联网企业共同签署《网络交易合规经营自律公约》</w:t>
      </w:r>
    </w:p>
    <w:p w14:paraId="7965518D">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06FE4610">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8月22日，五大互联网企业京东、淘宝、拼多多、抖音、快手在北京签署《网络交易合规经营自律公约》。该公约包含五个方面：平台责任落实、消费者权益保护、禁止不正当竞争、规范价格行为和政企协同共治。具体如下：建立信用评价体系，加强产品质量监督，管理广告发布及网络直播活动；依法保护个人信息，确保投诉渠道畅通；在法律框架内进行竞争，制定合理规则防止市场扰乱；明码标价，禁止利用虚假或误导性的价格手段；与政府加强合作应对紧急情况，提升自治水平。</w:t>
      </w:r>
    </w:p>
    <w:p w14:paraId="52E00F71">
      <w:pPr>
        <w:spacing w:before="120" w:after="120" w:line="288" w:lineRule="auto"/>
        <w:ind w:firstLine="440" w:firstLineChars="200"/>
        <w:jc w:val="left"/>
        <w:rPr>
          <w:rFonts w:hint="default" w:ascii="Arial" w:hAnsi="Arial" w:eastAsia="等线" w:cs="Arial"/>
          <w:sz w:val="22"/>
          <w:lang w:val="en-US" w:eastAsia="zh-CN"/>
        </w:rPr>
      </w:pPr>
    </w:p>
    <w:p w14:paraId="61BDA1F7">
      <w:pPr>
        <w:spacing w:before="120" w:after="120" w:line="288" w:lineRule="auto"/>
        <w:ind w:left="0"/>
        <w:jc w:val="left"/>
        <w:rPr>
          <w:rFonts w:hint="eastAsia" w:eastAsia="等线"/>
          <w:lang w:eastAsia="zh-CN"/>
        </w:rPr>
      </w:pPr>
      <w:r>
        <w:rPr>
          <w:rFonts w:ascii="Arial" w:hAnsi="Arial" w:eastAsia="等线" w:cs="Arial"/>
          <w:b/>
          <w:sz w:val="22"/>
        </w:rPr>
        <w:t>来源：</w:t>
      </w:r>
      <w:r>
        <w:rPr>
          <w:rFonts w:hint="eastAsia" w:ascii="Arial" w:hAnsi="Arial" w:eastAsia="等线" w:cs="Arial"/>
          <w:b w:val="0"/>
          <w:bCs/>
          <w:sz w:val="22"/>
        </w:rPr>
        <w:t>北京市市场监督管理局</w:t>
      </w:r>
    </w:p>
    <w:p w14:paraId="220075D8">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"https://scjgj.beijing.gov.cn/zwxx/scjgdt/202408/t20240824_3781027.html"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https://scjgj.beijing.gov.cn/zwxx/scjgdt/202408/t20240824_3781027.html</w:t>
      </w:r>
      <w:r>
        <w:rPr>
          <w:rFonts w:hint="eastAsia" w:ascii="Arial" w:hAnsi="Arial" w:eastAsia="等线" w:cs="Arial"/>
          <w:color w:val="3370FF"/>
          <w:sz w:val="22"/>
          <w:u w:val="single"/>
        </w:rPr>
        <w:fldChar w:fldCharType="end"/>
      </w:r>
    </w:p>
    <w:p w14:paraId="185C52BB">
      <w:pPr>
        <w:spacing w:before="120" w:after="120" w:line="288" w:lineRule="auto"/>
        <w:ind w:left="0"/>
        <w:jc w:val="left"/>
        <w:rPr>
          <w:rFonts w:hint="eastAsia" w:ascii="Arial" w:hAnsi="Arial" w:eastAsia="等线" w:cs="Arial"/>
          <w:color w:val="3370FF"/>
          <w:sz w:val="22"/>
          <w:u w:val="single"/>
        </w:rPr>
      </w:pPr>
    </w:p>
    <w:p w14:paraId="6C944175">
      <w:pPr>
        <w:spacing w:before="120" w:after="120" w:line="288" w:lineRule="auto"/>
        <w:ind w:left="0"/>
        <w:jc w:val="left"/>
        <w:rPr>
          <w:rFonts w:hint="eastAsia" w:ascii="Arial" w:hAnsi="Arial" w:eastAsia="等线" w:cs="Arial"/>
          <w:color w:val="3370FF"/>
          <w:sz w:val="22"/>
          <w:u w:val="single"/>
        </w:rPr>
      </w:pPr>
    </w:p>
    <w:p w14:paraId="2D419F30">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rPr>
        <w:t>三项智能网联汽车强制性国家标准正式发布</w:t>
      </w:r>
    </w:p>
    <w:p w14:paraId="1D1966B6">
      <w:pPr>
        <w:keepNext w:val="0"/>
        <w:keepLines w:val="0"/>
        <w:pageBreakBefore w:val="0"/>
        <w:widowControl w:val="0"/>
        <w:kinsoku/>
        <w:wordWrap/>
        <w:overflowPunct/>
        <w:topLinePunct w:val="0"/>
        <w:autoSpaceDE/>
        <w:autoSpaceDN/>
        <w:bidi w:val="0"/>
        <w:adjustRightInd/>
        <w:snapToGrid/>
        <w:spacing w:before="120" w:after="120" w:line="288" w:lineRule="auto"/>
        <w:ind w:left="0" w:firstLine="440" w:firstLineChars="200"/>
        <w:jc w:val="left"/>
        <w:textAlignment w:val="auto"/>
        <w:rPr>
          <w:rFonts w:hint="eastAsia" w:ascii="Arial" w:hAnsi="Arial" w:eastAsia="等线" w:cs="Arial"/>
          <w:sz w:val="22"/>
          <w:lang w:val="en-US" w:eastAsia="zh-CN"/>
        </w:rPr>
      </w:pPr>
    </w:p>
    <w:p w14:paraId="7BB0F13F">
      <w:pPr>
        <w:spacing w:before="120" w:after="120" w:line="288" w:lineRule="auto"/>
        <w:ind w:firstLine="440" w:firstLineChars="200"/>
        <w:jc w:val="left"/>
        <w:rPr>
          <w:rFonts w:hint="eastAsia" w:ascii="Arial" w:hAnsi="Arial" w:eastAsia="等线" w:cs="Arial"/>
          <w:sz w:val="22"/>
          <w:lang w:val="en-US" w:eastAsia="zh-CN"/>
        </w:rPr>
      </w:pPr>
      <w:r>
        <w:rPr>
          <w:rFonts w:hint="eastAsia" w:ascii="Arial" w:hAnsi="Arial" w:eastAsia="等线" w:cs="Arial"/>
          <w:sz w:val="22"/>
          <w:lang w:val="en-US" w:eastAsia="zh-CN"/>
        </w:rPr>
        <w:t>2024年8月23日，中国工信部组织制定的三项关于智能网联汽车的强制性国家标准获得批准，并将于2026年1月1日起实施。这些标准旨在提升智能网联汽车的产品安全水平，包括信息安全、软件升级和自动驾驶数据记录系统等方面。其中，GB 44495－2024《汽车整车信息安全技术要求》规定了汽车信息安全管理体系和技术要求，适用于多种车辆类型，对增强汽车信息安全防护具有重要作用。GB 44496－2024《汽车软件升级通用技术要求》规定了汽车软件升级的管理体系和技术要求，适用于具备软件升级功能的车辆，为规范车企行为和保障消费者权益提供标准基础。GB 44497－2024《智能网联汽车 自动驾驶数据记录系统》规定了自动驾驶数据记录系统的技术要求，适用于配备该系统的车辆，有助于事故责任认定和技术进步。这些标准的发布标志着中国在智能网联汽车领域的首批强制性国家标准的实施，对提高智能网联汽车的安全性和促进产业健康发展具有重要意义。</w:t>
      </w:r>
    </w:p>
    <w:p w14:paraId="70B8B30C">
      <w:pPr>
        <w:spacing w:before="120" w:after="120" w:line="288" w:lineRule="auto"/>
        <w:ind w:firstLine="440" w:firstLineChars="200"/>
        <w:jc w:val="left"/>
        <w:rPr>
          <w:rFonts w:hint="default" w:ascii="Arial" w:hAnsi="Arial" w:eastAsia="等线" w:cs="Arial"/>
          <w:sz w:val="22"/>
          <w:lang w:val="en-US" w:eastAsia="zh-CN"/>
        </w:rPr>
      </w:pPr>
    </w:p>
    <w:p w14:paraId="24BFE05F">
      <w:pPr>
        <w:spacing w:before="120" w:after="120" w:line="288" w:lineRule="auto"/>
        <w:ind w:left="0"/>
        <w:jc w:val="left"/>
        <w:rPr>
          <w:rFonts w:hint="eastAsia" w:eastAsia="等线"/>
          <w:lang w:eastAsia="zh-CN"/>
        </w:rPr>
      </w:pPr>
      <w:r>
        <w:rPr>
          <w:rFonts w:ascii="Arial" w:hAnsi="Arial" w:eastAsia="等线" w:cs="Arial"/>
          <w:b/>
          <w:sz w:val="22"/>
        </w:rPr>
        <w:t>来源：</w:t>
      </w:r>
      <w:r>
        <w:rPr>
          <w:rFonts w:hint="eastAsia" w:ascii="Arial" w:hAnsi="Arial" w:eastAsia="等线" w:cs="Arial"/>
          <w:b w:val="0"/>
          <w:bCs/>
          <w:sz w:val="22"/>
        </w:rPr>
        <w:t>中国政府网</w:t>
      </w:r>
    </w:p>
    <w:p w14:paraId="27C163E0">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"https://www.gov.cn/lianbo/bumen/202409/content_6972669.htm" </w:instrText>
      </w:r>
      <w:r>
        <w:rPr>
          <w:rFonts w:hint="eastAsia" w:ascii="Arial" w:hAnsi="Arial" w:eastAsia="等线" w:cs="Arial"/>
          <w:color w:val="3370FF"/>
          <w:sz w:val="22"/>
          <w:u w:val="single"/>
        </w:rPr>
        <w:fldChar w:fldCharType="separate"/>
      </w:r>
      <w:r>
        <w:rPr>
          <w:rStyle w:val="4"/>
          <w:rFonts w:hint="eastAsia" w:ascii="Arial" w:hAnsi="Arial" w:eastAsia="等线" w:cs="Arial"/>
          <w:sz w:val="22"/>
        </w:rPr>
        <w:t>https://www.gov.cn/lianbo/bumen/202409/content_6972669.htm</w:t>
      </w:r>
      <w:r>
        <w:rPr>
          <w:rFonts w:hint="eastAsia" w:ascii="Arial" w:hAnsi="Arial" w:eastAsia="等线" w:cs="Arial"/>
          <w:color w:val="3370FF"/>
          <w:sz w:val="22"/>
          <w:u w:val="single"/>
        </w:rPr>
        <w:fldChar w:fldCharType="end"/>
      </w:r>
    </w:p>
    <w:p w14:paraId="764230F3">
      <w:pPr>
        <w:spacing w:before="120" w:after="120" w:line="288" w:lineRule="auto"/>
        <w:ind w:left="0"/>
        <w:jc w:val="left"/>
        <w:rPr>
          <w:rFonts w:hint="eastAsia" w:ascii="Arial" w:hAnsi="Arial" w:eastAsia="等线" w:cs="Arial"/>
          <w:color w:val="3370FF"/>
          <w:sz w:val="22"/>
          <w:u w:val="single"/>
        </w:rPr>
      </w:pPr>
    </w:p>
    <w:p w14:paraId="32B8A9FE">
      <w:pPr>
        <w:spacing w:before="120" w:after="120" w:line="288" w:lineRule="auto"/>
        <w:ind w:left="0"/>
        <w:jc w:val="left"/>
        <w:rPr>
          <w:rFonts w:hint="eastAsia" w:ascii="Arial" w:hAnsi="Arial" w:eastAsia="等线" w:cs="Arial"/>
          <w:color w:val="3370FF"/>
          <w:sz w:val="22"/>
          <w:u w:val="single"/>
        </w:rPr>
      </w:pPr>
    </w:p>
    <w:p w14:paraId="10275BA6">
      <w:pPr>
        <w:spacing w:before="120" w:after="120" w:line="288" w:lineRule="auto"/>
        <w:ind w:left="0"/>
        <w:jc w:val="left"/>
        <w:rPr>
          <w:rFonts w:hint="eastAsia" w:ascii="Arial" w:hAnsi="Arial" w:eastAsia="等线" w:cs="Arial"/>
          <w:color w:val="3370FF"/>
          <w:sz w:val="22"/>
          <w:u w:val="single"/>
        </w:rPr>
      </w:pPr>
    </w:p>
    <w:p w14:paraId="331795F3">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14:paraId="2C5BC384">
      <w:pPr>
        <w:spacing w:before="120" w:after="120" w:line="288" w:lineRule="auto"/>
        <w:ind w:left="0"/>
        <w:jc w:val="left"/>
        <w:rPr>
          <w:rFonts w:ascii="Arial" w:hAnsi="Arial" w:eastAsia="等线" w:cs="Arial"/>
          <w:sz w:val="22"/>
        </w:rPr>
      </w:pPr>
    </w:p>
    <w:p w14:paraId="67E8D6A4">
      <w:pPr>
        <w:jc w:val="center"/>
        <w:rPr>
          <w:rFonts w:hint="eastAsia" w:eastAsia="宋体"/>
          <w:lang w:eastAsia="zh-CN"/>
        </w:rPr>
      </w:pPr>
      <w:r>
        <w:rPr>
          <w:rFonts w:hint="eastAsia" w:eastAsia="宋体"/>
          <w:lang w:eastAsia="zh-CN"/>
        </w:rPr>
        <w:drawing>
          <wp:inline distT="0" distB="0" distL="114300" distR="114300">
            <wp:extent cx="1714500" cy="1714500"/>
            <wp:effectExtent l="0" t="0" r="7620" b="7620"/>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
                    <pic:cNvPicPr>
                      <a:picLocks noChangeAspect="1"/>
                    </pic:cNvPicPr>
                  </pic:nvPicPr>
                  <pic:blipFill>
                    <a:blip r:embed="rId6"/>
                    <a:stretch>
                      <a:fillRect/>
                    </a:stretch>
                  </pic:blipFill>
                  <pic:spPr>
                    <a:xfrm>
                      <a:off x="0" y="0"/>
                      <a:ext cx="1714500" cy="1714500"/>
                    </a:xfrm>
                    <a:prstGeom prst="rect">
                      <a:avLst/>
                    </a:prstGeom>
                  </pic:spPr>
                </pic:pic>
              </a:graphicData>
            </a:graphic>
          </wp:inline>
        </w:drawing>
      </w:r>
    </w:p>
    <w:p w14:paraId="77147EA4">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214C1399"/>
    <w:p w14:paraId="7CB6E7EB"/>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Source Han Sans SC">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0E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F4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YWM3OTg4ZWJjODc0YjcyODRmMmZmZjE0YjNhYTYifQ=="/>
  </w:docVars>
  <w:rsids>
    <w:rsidRoot w:val="67AA7915"/>
    <w:rsid w:val="5FD4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7030</Words>
  <Characters>8816</Characters>
  <Lines>0</Lines>
  <Paragraphs>0</Paragraphs>
  <TotalTime>2388</TotalTime>
  <ScaleCrop>false</ScaleCrop>
  <LinksUpToDate>false</LinksUpToDate>
  <CharactersWithSpaces>8876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2024-09-18T01:24:00Z</dcterms:created>
  <dc:creator>BL</dc:creator>
  <cp:lastModifiedBy>BL</cp:lastModifiedBy>
  <dcterms:modified xsi:type="dcterms:W3CDTF">2024-09-23T02:32:30Z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487E4E4430EE4EEA9EBB213BC87B9C71_11</vt:lpwstr>
  </property>
</Properties>
</file>