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3A7AB">
      <w:pPr>
        <w:spacing w:before="120" w:after="120" w:line="288" w:lineRule="auto"/>
        <w:ind w:left="0"/>
        <w:jc w:val="center"/>
        <w:rPr>
          <w:sz w:val="44"/>
          <w:szCs w:val="44"/>
        </w:rPr>
      </w:pPr>
      <w:r>
        <w:rPr>
          <w:rFonts w:ascii="Arial" w:hAnsi="Arial" w:eastAsia="等线" w:cs="Arial"/>
          <w:b/>
          <w:sz w:val="44"/>
          <w:szCs w:val="44"/>
        </w:rPr>
        <w:t>数字经济法律服务月刊 2024年</w:t>
      </w:r>
      <w:r>
        <w:rPr>
          <w:rFonts w:hint="eastAsia" w:ascii="Arial" w:hAnsi="Arial" w:eastAsia="等线" w:cs="Arial"/>
          <w:b/>
          <w:sz w:val="44"/>
          <w:szCs w:val="44"/>
          <w:lang w:val="en-US" w:eastAsia="zh-CN"/>
        </w:rPr>
        <w:t>7</w:t>
      </w:r>
      <w:r>
        <w:rPr>
          <w:rFonts w:ascii="Arial" w:hAnsi="Arial" w:eastAsia="等线" w:cs="Arial"/>
          <w:b/>
          <w:sz w:val="44"/>
          <w:szCs w:val="44"/>
        </w:rPr>
        <w:t>月刊</w:t>
      </w:r>
    </w:p>
    <w:p w14:paraId="4303F3D9">
      <w:pPr>
        <w:spacing w:before="120" w:after="120" w:line="288" w:lineRule="auto"/>
        <w:ind w:left="0"/>
        <w:jc w:val="center"/>
      </w:pPr>
      <w:r>
        <w:rPr>
          <w:rFonts w:ascii="Arial" w:hAnsi="Arial" w:eastAsia="等线" w:cs="Arial"/>
          <w:b/>
          <w:sz w:val="22"/>
        </w:rPr>
        <w:t xml:space="preserve"> </w:t>
      </w:r>
    </w:p>
    <w:p w14:paraId="16150599">
      <w:pPr>
        <w:spacing w:before="120" w:after="120" w:line="288" w:lineRule="auto"/>
        <w:ind w:left="0"/>
        <w:jc w:val="center"/>
        <w:rPr>
          <w:rFonts w:ascii="Arial" w:hAnsi="Arial" w:eastAsia="等线" w:cs="Arial"/>
          <w:b/>
          <w:sz w:val="22"/>
        </w:rPr>
      </w:pPr>
    </w:p>
    <w:p w14:paraId="7F1A2268">
      <w:pPr>
        <w:spacing w:before="120" w:after="120" w:line="288" w:lineRule="auto"/>
        <w:ind w:left="0"/>
        <w:jc w:val="center"/>
      </w:pPr>
      <w:r>
        <w:rPr>
          <w:rFonts w:ascii="Arial" w:hAnsi="Arial" w:eastAsia="等线" w:cs="Arial"/>
          <w:b/>
          <w:sz w:val="22"/>
        </w:rPr>
        <w:t>【立法前沿】</w:t>
      </w:r>
    </w:p>
    <w:p w14:paraId="130BA13E">
      <w:pPr>
        <w:spacing w:before="120" w:after="120" w:line="288" w:lineRule="auto"/>
        <w:ind w:left="0"/>
        <w:jc w:val="left"/>
      </w:pPr>
    </w:p>
    <w:p w14:paraId="366FBE95">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rPr>
        <w:t>《中华人民共和国消费者权益保护法实施条例》7月1日起施行</w:t>
      </w:r>
    </w:p>
    <w:p w14:paraId="21840F5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603F184B">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中华人民共和国消费者权益保护法实施条例》已于2024年2月23日由国务院第26次常务会议通过，并将于2024年7月1日起正式施行。该《条例》包含7章共计53条，其主要内容包括：细化和补充了关于经营者义务的规定；完善了网络消费的相关规定；加强了预付式消费经营者的义务；规范了消费索赔行为；明确了政府在消费者权益保护方面的工作职责。为了更好地解决网络消费中的问题，确保消费者的知情权和选择权得到更好的保障，《条例》制定了一系列新规定。这些新规定包括：禁止“刷单炒信”；禁止“强制搭售”；禁止“大数据杀熟”；规范“自动续费”；保障“无理由退货”。此外，《条例》还强调不得过度收集个人信息，并禁止使用一次性概括授权或默认授权的方式，强制或变相强制消费者同意收集和使用与其经营活动无直接关联的个人信息，同时增加了对敏感个人信息的保护内容。</w:t>
      </w:r>
    </w:p>
    <w:p w14:paraId="11EF0BFA">
      <w:pPr>
        <w:spacing w:before="120" w:after="120" w:line="288" w:lineRule="auto"/>
        <w:ind w:firstLine="440" w:firstLineChars="200"/>
        <w:jc w:val="left"/>
        <w:rPr>
          <w:rFonts w:hint="eastAsia" w:ascii="Arial" w:hAnsi="Arial" w:eastAsia="等线" w:cs="Arial"/>
          <w:sz w:val="22"/>
          <w:lang w:val="en-US" w:eastAsia="zh-CN"/>
        </w:rPr>
      </w:pPr>
    </w:p>
    <w:p w14:paraId="7B346A90">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中国政府网</w:t>
      </w:r>
    </w:p>
    <w:p w14:paraId="72F8E887">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"https://www.gov.cn/zhengce/content/202403/content_6940158.htm" </w:instrText>
      </w:r>
      <w:r>
        <w:rPr>
          <w:rFonts w:hint="eastAsia" w:ascii="Arial" w:hAnsi="Arial" w:eastAsia="等线" w:cs="Arial"/>
          <w:color w:val="3370FF"/>
          <w:sz w:val="22"/>
          <w:u w:val="single"/>
        </w:rPr>
        <w:fldChar w:fldCharType="separate"/>
      </w:r>
      <w:r>
        <w:rPr>
          <w:rStyle w:val="5"/>
          <w:rFonts w:hint="eastAsia" w:ascii="Arial" w:hAnsi="Arial" w:eastAsia="等线" w:cs="Arial"/>
          <w:color w:val="3370FF"/>
          <w:sz w:val="22"/>
        </w:rPr>
        <w:t>https://www.gov.cn/zhengce/content/202403/content_6940158.htm</w:t>
      </w:r>
      <w:r>
        <w:rPr>
          <w:rFonts w:hint="eastAsia" w:ascii="Arial" w:hAnsi="Arial" w:eastAsia="等线" w:cs="Arial"/>
          <w:color w:val="3370FF"/>
          <w:sz w:val="22"/>
          <w:u w:val="single"/>
        </w:rPr>
        <w:fldChar w:fldCharType="end"/>
      </w:r>
    </w:p>
    <w:p w14:paraId="36DFF523">
      <w:pPr>
        <w:spacing w:before="120" w:after="120" w:line="288" w:lineRule="auto"/>
        <w:ind w:left="0"/>
        <w:jc w:val="left"/>
        <w:rPr>
          <w:rFonts w:hint="eastAsia" w:ascii="Arial" w:hAnsi="Arial" w:eastAsia="等线" w:cs="Arial"/>
          <w:color w:val="3370FF"/>
          <w:sz w:val="22"/>
          <w:u w:val="single"/>
        </w:rPr>
      </w:pPr>
    </w:p>
    <w:p w14:paraId="0B395413">
      <w:pPr>
        <w:spacing w:before="120" w:after="120" w:line="288" w:lineRule="auto"/>
        <w:ind w:left="0"/>
        <w:jc w:val="left"/>
        <w:rPr>
          <w:rFonts w:ascii="Arial" w:hAnsi="Arial" w:eastAsia="等线" w:cs="Arial"/>
          <w:b/>
          <w:color w:val="245BDB"/>
          <w:sz w:val="22"/>
        </w:rPr>
      </w:pPr>
    </w:p>
    <w:p w14:paraId="0AA3B574">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rPr>
        <w:t>全国网络安全标准化技术委员会秘书处</w:t>
      </w:r>
      <w:r>
        <w:rPr>
          <w:rFonts w:hint="eastAsia" w:ascii="Arial" w:hAnsi="Arial" w:eastAsia="等线" w:cs="Arial"/>
          <w:b/>
          <w:color w:val="245BDB"/>
          <w:sz w:val="22"/>
          <w:lang w:val="en-US" w:eastAsia="zh-CN"/>
        </w:rPr>
        <w:t>就《数据安全技术 个人信息保护合规审计要求》征求意见稿公开征求意见</w:t>
      </w:r>
    </w:p>
    <w:p w14:paraId="3F92BE9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65376E8E">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 xml:space="preserve"> 为了规范个人信息处理者在开展个人信息保护合规审计的行为，全国网络安全标准化技术委员会特此立项制定了《数据安全技术 个人信息保护合规审计要求》标准。这一标准由中国电子技术标准化研究院与多家单位共同编制，并于2024年7月12日向社会公开征求意见。制定此标准的目的，在于支持《个人信息保护法》第五十四条及第六十四条所提出的个人信息保护合规审计制度的有效实施。通过具体化审计过程的规范要求以及明确审计开展的方式和步骤，该标准旨在解决之前由于缺乏这些具体要求而使得合规审计难以开展的问题。该标准适用于所有个人信息处理者，无论是内部机构还是委托的专业机构，均可依照此标准进行个人信息保护合规审计工作。此外，当个人信息处理者根据履行个人信息保护职责的部门的要求，委托专业机构对其个人信息处理活动进行合规审计时，也可以参照该标准执行。</w:t>
      </w:r>
    </w:p>
    <w:p w14:paraId="134D0036">
      <w:pPr>
        <w:spacing w:before="120" w:after="120" w:line="288" w:lineRule="auto"/>
        <w:ind w:firstLine="440" w:firstLineChars="200"/>
        <w:jc w:val="left"/>
        <w:rPr>
          <w:rFonts w:hint="eastAsia" w:ascii="Arial" w:hAnsi="Arial" w:eastAsia="等线" w:cs="Arial"/>
          <w:sz w:val="22"/>
          <w:lang w:val="en-US" w:eastAsia="zh-CN"/>
        </w:rPr>
      </w:pPr>
    </w:p>
    <w:p w14:paraId="7789BE60">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全国网络安全标准化技术委员会秘书处</w:t>
      </w:r>
    </w:p>
    <w:p w14:paraId="21E3511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https://www.tc260.org.cn/front/bzzqyjDetail.html?id=20240712162705&amp;norm_id=20231220163619&amp;recode_id=55772</w:t>
      </w:r>
    </w:p>
    <w:p w14:paraId="4587AF42">
      <w:pPr>
        <w:spacing w:before="120" w:after="120" w:line="288" w:lineRule="auto"/>
        <w:ind w:left="0"/>
        <w:jc w:val="left"/>
      </w:pPr>
    </w:p>
    <w:p w14:paraId="2B87A91E">
      <w:pPr>
        <w:spacing w:before="120" w:after="120" w:line="288" w:lineRule="auto"/>
        <w:ind w:left="0"/>
        <w:jc w:val="left"/>
      </w:pPr>
    </w:p>
    <w:p w14:paraId="67BE2E1F">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rPr>
        <w:t>公安部</w:t>
      </w:r>
      <w:r>
        <w:rPr>
          <w:rFonts w:hint="eastAsia" w:ascii="Arial" w:hAnsi="Arial" w:eastAsia="等线" w:cs="Arial"/>
          <w:b/>
          <w:color w:val="245BDB"/>
          <w:sz w:val="22"/>
          <w:lang w:eastAsia="zh-CN"/>
        </w:rPr>
        <w:t>、</w:t>
      </w:r>
      <w:r>
        <w:rPr>
          <w:rFonts w:hint="eastAsia" w:ascii="Arial" w:hAnsi="Arial" w:eastAsia="等线" w:cs="Arial"/>
          <w:b/>
          <w:color w:val="245BDB"/>
          <w:sz w:val="22"/>
        </w:rPr>
        <w:t>国家互联网信息办公室</w:t>
      </w:r>
      <w:r>
        <w:rPr>
          <w:rFonts w:hint="eastAsia" w:ascii="Arial" w:hAnsi="Arial" w:eastAsia="等线" w:cs="Arial"/>
          <w:b/>
          <w:color w:val="245BDB"/>
          <w:sz w:val="22"/>
          <w:lang w:val="en-US" w:eastAsia="zh-CN"/>
        </w:rPr>
        <w:t>就《国家网络身份认证公共服务管理办法（征求意见稿）》公开征求意见</w:t>
      </w:r>
    </w:p>
    <w:p w14:paraId="49EF83B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1B354EA9">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 xml:space="preserve"> 为加强公民个人信息的保护，推动国家网络身份认证的规范化建设及其应用，并加速实施网络可信身份战略，公安部联合国家互联网信息办公室共同研究起草了《国家网络身份认证公共服务管理办法（征求意见稿）》。该《管理办法》草案于2024年7月26日对外公开，征求社会各界的意见。《管理办法》包含16条规定，主要涉及以下四个方面：首先是对“公共服务”、“网号”与“网证”等关键概念进行明确；其次是规定这些服务的使用方式及适用场景；第三是强调了提供这些服务的公共平台及互联网平台在数据和个人信息保护方面的责任；最后是明确了一旦违反上述保护责任将面临的法律后果。</w:t>
      </w:r>
    </w:p>
    <w:p w14:paraId="7481A479">
      <w:pPr>
        <w:spacing w:before="120" w:after="120" w:line="288" w:lineRule="auto"/>
        <w:ind w:firstLine="440" w:firstLineChars="200"/>
        <w:jc w:val="left"/>
        <w:rPr>
          <w:rFonts w:hint="eastAsia" w:ascii="Arial" w:hAnsi="Arial" w:eastAsia="等线" w:cs="Arial"/>
          <w:sz w:val="22"/>
          <w:lang w:val="en-US" w:eastAsia="zh-CN"/>
        </w:rPr>
      </w:pPr>
    </w:p>
    <w:p w14:paraId="14BD7C69">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中央网络安全和信息化委员会办公室、中华人民共和国国家互联网信息办公室 </w:t>
      </w:r>
    </w:p>
    <w:p w14:paraId="6504FE38">
      <w:pPr>
        <w:spacing w:before="120" w:after="120" w:line="288" w:lineRule="auto"/>
        <w:ind w:left="0"/>
        <w:jc w:val="left"/>
      </w:pPr>
      <w:r>
        <w:rPr>
          <w:rFonts w:hint="eastAsia" w:ascii="Arial" w:hAnsi="Arial" w:eastAsia="等线" w:cs="Arial"/>
          <w:color w:val="3370FF"/>
          <w:sz w:val="22"/>
          <w:u w:val="single"/>
        </w:rPr>
        <w:t>https://www.cac.gov.cn/2024-07/26/c_1723675813897966.htm</w:t>
      </w:r>
    </w:p>
    <w:p w14:paraId="01C3C4F3">
      <w:pPr>
        <w:spacing w:before="120" w:after="120" w:line="288" w:lineRule="auto"/>
        <w:ind w:left="0"/>
        <w:jc w:val="left"/>
      </w:pPr>
    </w:p>
    <w:p w14:paraId="0AD7D5C8">
      <w:pPr>
        <w:spacing w:before="120" w:after="120" w:line="288" w:lineRule="auto"/>
        <w:ind w:left="0"/>
        <w:jc w:val="left"/>
      </w:pPr>
    </w:p>
    <w:p w14:paraId="0B56011F">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北京市发展和改革委员会</w:t>
      </w:r>
      <w:r>
        <w:rPr>
          <w:rFonts w:hint="eastAsia" w:ascii="Arial" w:hAnsi="Arial" w:eastAsia="等线" w:cs="Arial"/>
          <w:b/>
          <w:color w:val="245BDB"/>
          <w:sz w:val="22"/>
          <w:lang w:val="en-US" w:eastAsia="zh-CN"/>
        </w:rPr>
        <w:t>等四部门联合</w:t>
      </w:r>
      <w:r>
        <w:rPr>
          <w:rFonts w:hint="eastAsia" w:ascii="Arial" w:hAnsi="Arial" w:eastAsia="等线" w:cs="Arial"/>
          <w:b/>
          <w:color w:val="245BDB"/>
          <w:sz w:val="22"/>
        </w:rPr>
        <w:t>印发《北京市推动“人工智能+”行动计划（2024-2025年）》</w:t>
      </w:r>
    </w:p>
    <w:p w14:paraId="6B0697AE">
      <w:pPr>
        <w:spacing w:before="120" w:after="120" w:line="288" w:lineRule="auto"/>
        <w:jc w:val="left"/>
        <w:rPr>
          <w:rFonts w:hint="eastAsia" w:ascii="Arial" w:hAnsi="Arial" w:eastAsia="等线" w:cs="Arial"/>
          <w:sz w:val="22"/>
          <w:lang w:val="en-US" w:eastAsia="zh-CN"/>
        </w:rPr>
      </w:pPr>
    </w:p>
    <w:p w14:paraId="3E32889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促进人工智能加速赋能各行各业，大力推进大模型技术创新与行业的深度融合，并推动经济社会的高质量发展，2024年7月18日，北京市发展和改革委员会、北京市经济和信息化局、北京市科学技术委员会以及中关村科技园区管理委员会共同印发了《北京市推动“人工智能+”行动计划（2024-2025年）》。根据该《行动计划》，到2025年底，北京市将通过在机器人、教育、医疗、文化和交通这五个领域实施对标全球领先水平的标杆型应用工程，组织10个引领全国的示范性应用项目，并推广一批具有广泛应用前景的商业化应用成果。目标是力争形成3-5个先进且可用、自主可控的基础大模型产品，以及100个优秀的行业大模型产品和1000个行业成功案例。此外，北京市还将率先建设AI原生城市，进而成为具有全球影响力的人工智能创新策源地和应用高地。</w:t>
      </w:r>
    </w:p>
    <w:p w14:paraId="0E93EF72">
      <w:pPr>
        <w:spacing w:before="120" w:after="120" w:line="288" w:lineRule="auto"/>
        <w:ind w:firstLine="440" w:firstLineChars="200"/>
        <w:jc w:val="left"/>
        <w:rPr>
          <w:rFonts w:hint="eastAsia" w:ascii="Arial" w:hAnsi="Arial" w:eastAsia="等线" w:cs="Arial"/>
          <w:sz w:val="22"/>
          <w:lang w:val="en-US" w:eastAsia="zh-CN"/>
        </w:rPr>
      </w:pPr>
    </w:p>
    <w:p w14:paraId="051CD60D">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北京市发展和改革委员会 </w:t>
      </w:r>
    </w:p>
    <w:p w14:paraId="7F3A55BE">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"https://fgw.beijing.gov.cn/fgwzwgk/2024zcwj/bwqtwj/202407/t20240726_3760264.htm" </w:instrText>
      </w:r>
      <w:r>
        <w:rPr>
          <w:rFonts w:hint="eastAsia" w:ascii="Arial" w:hAnsi="Arial" w:eastAsia="等线" w:cs="Arial"/>
          <w:color w:val="3370FF"/>
          <w:sz w:val="22"/>
          <w:u w:val="single"/>
        </w:rPr>
        <w:fldChar w:fldCharType="separate"/>
      </w:r>
      <w:r>
        <w:rPr>
          <w:rStyle w:val="5"/>
          <w:rFonts w:hint="eastAsia" w:ascii="Arial" w:hAnsi="Arial" w:eastAsia="等线" w:cs="Arial"/>
          <w:color w:val="3370FF"/>
          <w:sz w:val="22"/>
        </w:rPr>
        <w:t>https://fgw.beijing.gov.cn/fgwzwgk/2024zcwj/bwqtwj/202407/t20240726_3760264.htm</w:t>
      </w:r>
      <w:r>
        <w:rPr>
          <w:rFonts w:hint="eastAsia" w:ascii="Arial" w:hAnsi="Arial" w:eastAsia="等线" w:cs="Arial"/>
          <w:color w:val="3370FF"/>
          <w:sz w:val="22"/>
          <w:u w:val="single"/>
        </w:rPr>
        <w:fldChar w:fldCharType="end"/>
      </w:r>
    </w:p>
    <w:p w14:paraId="461AA676">
      <w:pPr>
        <w:spacing w:before="120" w:after="120" w:line="288" w:lineRule="auto"/>
        <w:ind w:left="0"/>
        <w:jc w:val="left"/>
        <w:rPr>
          <w:rFonts w:hint="eastAsia" w:ascii="Arial" w:hAnsi="Arial" w:eastAsia="等线" w:cs="Arial"/>
          <w:color w:val="3370FF"/>
          <w:sz w:val="22"/>
          <w:u w:val="single"/>
        </w:rPr>
      </w:pPr>
    </w:p>
    <w:p w14:paraId="685A0318">
      <w:pPr>
        <w:spacing w:before="120" w:after="120" w:line="288" w:lineRule="auto"/>
        <w:ind w:left="0"/>
        <w:jc w:val="left"/>
        <w:rPr>
          <w:rFonts w:ascii="Arial" w:hAnsi="Arial" w:eastAsia="等线" w:cs="Arial"/>
          <w:b/>
          <w:color w:val="245BDB"/>
          <w:sz w:val="22"/>
        </w:rPr>
      </w:pPr>
    </w:p>
    <w:p w14:paraId="35FED9A9">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rPr>
        <w:t>《湖南省数字经济促进条例》7月1日起施行</w:t>
      </w:r>
    </w:p>
    <w:p w14:paraId="7910177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650B654B">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湖南省数字经济促进条例》将于2024年7月1日起施行，旨在推动该省数字经济发展。该《条例》包含26条内容，主要涉及数字基础设施、数据资源利用、技术创新、产业数字化等方面，并明确了政府及相关部门的职责，重点包括：建设数字经济技术创新体系，聚焦人工智能、集成电路等前沿领域；统筹规划数字产业发展，培育半导体、卫星互联网等关键产业集群；支持工业企业数字化转型，鼓励智能化改造和产品升级；推进智慧城市建设，实现城市治理和服务的智能化创新应用等内容。</w:t>
      </w:r>
    </w:p>
    <w:p w14:paraId="76788A53">
      <w:pPr>
        <w:spacing w:before="120" w:after="120" w:line="288" w:lineRule="auto"/>
        <w:ind w:firstLine="440" w:firstLineChars="200"/>
        <w:jc w:val="left"/>
        <w:rPr>
          <w:rFonts w:hint="eastAsia" w:ascii="Arial" w:hAnsi="Arial" w:eastAsia="等线" w:cs="Arial"/>
          <w:sz w:val="22"/>
          <w:lang w:val="en-US" w:eastAsia="zh-CN"/>
        </w:rPr>
      </w:pPr>
    </w:p>
    <w:p w14:paraId="2083EDA8">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湖南省人民政府门户网站</w:t>
      </w:r>
    </w:p>
    <w:p w14:paraId="44108DAF">
      <w:pPr>
        <w:spacing w:before="120" w:after="120" w:line="288" w:lineRule="auto"/>
        <w:ind w:left="0"/>
        <w:jc w:val="left"/>
        <w:rPr>
          <w:rFonts w:ascii="Arial" w:hAnsi="Arial" w:eastAsia="等线" w:cs="Arial"/>
          <w:b/>
          <w:color w:val="245BDB"/>
          <w:sz w:val="22"/>
        </w:rPr>
      </w:pPr>
      <w:r>
        <w:rPr>
          <w:rFonts w:hint="eastAsia" w:ascii="Arial" w:hAnsi="Arial" w:eastAsia="等线" w:cs="Arial"/>
          <w:color w:val="3370FF"/>
          <w:sz w:val="22"/>
          <w:u w:val="single"/>
        </w:rPr>
        <w:t>https://www.hunan.gov.cn/hnszf/szf/hnzb_18/c102939/202411/02222gqgsdsddtcfvurptpusubvvggrfbfffbrhukgepdkfqnfkqserucnbsqdb/202406/t20240614_33327754.html</w:t>
      </w:r>
    </w:p>
    <w:p w14:paraId="2CD6D25C">
      <w:pPr>
        <w:spacing w:before="120" w:after="120" w:line="288" w:lineRule="auto"/>
        <w:ind w:left="0"/>
        <w:jc w:val="left"/>
        <w:rPr>
          <w:rFonts w:hint="eastAsia" w:ascii="Arial" w:hAnsi="Arial" w:eastAsia="等线" w:cs="Arial"/>
          <w:color w:val="3370FF"/>
          <w:sz w:val="22"/>
          <w:u w:val="single"/>
        </w:rPr>
      </w:pPr>
    </w:p>
    <w:p w14:paraId="6B173048">
      <w:pPr>
        <w:spacing w:before="120" w:after="120" w:line="288" w:lineRule="auto"/>
        <w:ind w:left="0"/>
        <w:jc w:val="left"/>
        <w:rPr>
          <w:rFonts w:hint="eastAsia" w:ascii="Arial" w:hAnsi="Arial" w:eastAsia="等线" w:cs="Arial"/>
          <w:color w:val="3370FF"/>
          <w:sz w:val="22"/>
          <w:u w:val="single"/>
        </w:rPr>
      </w:pPr>
    </w:p>
    <w:p w14:paraId="7FBCCB2E">
      <w:pPr>
        <w:spacing w:before="120" w:after="120" w:line="288" w:lineRule="auto"/>
        <w:ind w:left="0"/>
        <w:jc w:val="center"/>
      </w:pPr>
      <w:r>
        <w:rPr>
          <w:rFonts w:ascii="Arial" w:hAnsi="Arial" w:eastAsia="等线" w:cs="Arial"/>
          <w:b/>
          <w:sz w:val="22"/>
        </w:rPr>
        <w:t>【审判观点】</w:t>
      </w:r>
    </w:p>
    <w:p w14:paraId="02C9FB81">
      <w:pPr>
        <w:spacing w:before="120" w:after="120" w:line="288" w:lineRule="auto"/>
        <w:ind w:left="0"/>
        <w:jc w:val="left"/>
      </w:pPr>
    </w:p>
    <w:p w14:paraId="0188130A">
      <w:pPr>
        <w:spacing w:before="120" w:after="120" w:line="288" w:lineRule="auto"/>
        <w:ind w:left="0"/>
        <w:jc w:val="left"/>
        <w:rPr>
          <w:rFonts w:hint="default" w:eastAsia="等线"/>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数据资产</w:t>
      </w:r>
      <w:r>
        <w:rPr>
          <w:rFonts w:ascii="Arial" w:hAnsi="Arial" w:eastAsia="等线" w:cs="Arial"/>
          <w:b/>
          <w:color w:val="245BDB"/>
          <w:sz w:val="22"/>
        </w:rPr>
        <w:t xml:space="preserve">] </w:t>
      </w:r>
      <w:r>
        <w:rPr>
          <w:rFonts w:hint="eastAsia" w:ascii="Arial" w:hAnsi="Arial" w:eastAsia="等线" w:cs="Arial"/>
          <w:b/>
          <w:color w:val="245BDB"/>
          <w:sz w:val="22"/>
        </w:rPr>
        <w:t>全国首例涉及取得《数据知识产权登记证》的数据竞争案件审结</w:t>
      </w:r>
    </w:p>
    <w:p w14:paraId="3D919792">
      <w:pPr>
        <w:spacing w:before="120" w:after="120" w:line="288" w:lineRule="auto"/>
        <w:jc w:val="left"/>
        <w:rPr>
          <w:rFonts w:hint="eastAsia" w:ascii="Arial" w:hAnsi="Arial" w:eastAsia="等线" w:cs="Arial"/>
          <w:sz w:val="22"/>
          <w:lang w:val="en-US" w:eastAsia="zh-CN"/>
        </w:rPr>
      </w:pPr>
    </w:p>
    <w:p w14:paraId="65499610">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北京知识产权法院近日审结全国首例数据竞争案件，确认《数据知识产权登记证》在法律程序中具有初步证据效力。案件涉及数据堂（北京）科技股份有限公司（简称数据堂公司），该公司于2010年成立，主要业务包括数据处理和人工智能系统服务等。2021年，数据堂公司发布AI语音数据集，并在2023年获得《数据知识产权登记证》。</w:t>
      </w:r>
    </w:p>
    <w:p w14:paraId="2ABE754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数据堂公司曾起诉某公司非法获取并传播其数据集，侵犯了其数据财产权、著作权及商业秘密，构成不正当竞争。两审法院均认可涉案数据集具备法律保护的财产性利益。两审判决结果的差异，则主要在涉案数</w:t>
      </w:r>
      <w:bookmarkStart w:id="0" w:name="_GoBack"/>
      <w:bookmarkEnd w:id="0"/>
      <w:r>
        <w:rPr>
          <w:rFonts w:hint="eastAsia" w:ascii="Arial" w:hAnsi="Arial" w:eastAsia="等线" w:cs="Arial"/>
          <w:sz w:val="22"/>
          <w:lang w:val="en-US" w:eastAsia="zh-CN"/>
        </w:rPr>
        <w:t>据集是否属于商业秘密的认定问题。一审法院认为该数据集构成商业秘密，但被二审法院纠正：被诉行为发生时，涉案数据集已通过数据堂公司官网向不特定公众公开披露，因主动公开而丧失秘密性。</w:t>
      </w:r>
    </w:p>
    <w:p w14:paraId="297C5E97">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此案还明确了数据集合的司法保护路径：对于公开状态的数据集合，若其数据内容的选择或编排具有独创性贡献，优先通过汇编作品保护；若不为相关领域人员所容易获取，则可作为商业秘密保护；若既处于公开状态又缺乏独创性，因缺乏知识产权专有权和商业秘密保护的基础，则可视情况依据反不正当竞争法第二条进行保护。</w:t>
      </w:r>
    </w:p>
    <w:p w14:paraId="1F12D36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对数据财产权益的法律保护，应回归现行法律规定。二审判决按照‘以物权、知识产权为代表的绝对财产权——以债权为代表的相对财产权——其他财产性法益’的财产分类，对数据集能够具备的财产性利益作出认定，并明确相应的保护方式，有利于满足数据流通使用需求，承认和保护数据要素各参与方的合法权益，合理准确界定各参与方的权利和义务，体现了‘数据二十条’的政策导向。”北京知识产权法院法官、该案二审合议庭审判员李迎新表示。</w:t>
      </w:r>
    </w:p>
    <w:p w14:paraId="02BD159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此外，该案二审判决同时明确，任何人在未获得数据集合持有者许可的情况下，均不得公开传播其付出实质性投入合法收集整理的数据集合。当数据集合持有者对数据集合开源时，数据需求方的获取、使用行为是否遵循开源协议，是衡量该行为是否违反数据服务领域商业道德的重要考量因素。</w:t>
      </w:r>
    </w:p>
    <w:p w14:paraId="13CDBCC9">
      <w:pPr>
        <w:spacing w:before="120" w:after="120" w:line="288" w:lineRule="auto"/>
        <w:ind w:firstLine="440" w:firstLineChars="200"/>
        <w:jc w:val="left"/>
        <w:rPr>
          <w:rFonts w:hint="eastAsia" w:ascii="Arial" w:hAnsi="Arial" w:eastAsia="等线" w:cs="Arial"/>
          <w:sz w:val="22"/>
          <w:lang w:val="en-US" w:eastAsia="zh-CN"/>
        </w:rPr>
      </w:pPr>
    </w:p>
    <w:p w14:paraId="18712B66">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国家知识产权局</w:t>
      </w:r>
    </w:p>
    <w:p w14:paraId="68F18115">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t>https://www.cnipa.gov.cn/art/2024/7/26/art_55_193979.html</w:t>
      </w:r>
    </w:p>
    <w:p w14:paraId="0A895996">
      <w:pPr>
        <w:spacing w:before="120" w:after="120" w:line="288" w:lineRule="auto"/>
        <w:ind w:left="0"/>
        <w:jc w:val="center"/>
        <w:rPr>
          <w:rFonts w:ascii="Arial" w:hAnsi="Arial" w:eastAsia="等线" w:cs="Arial"/>
          <w:b/>
          <w:sz w:val="22"/>
        </w:rPr>
      </w:pPr>
    </w:p>
    <w:p w14:paraId="47218DFE">
      <w:pPr>
        <w:spacing w:before="120" w:after="120" w:line="288" w:lineRule="auto"/>
        <w:ind w:left="0"/>
        <w:jc w:val="center"/>
        <w:rPr>
          <w:rFonts w:ascii="Arial" w:hAnsi="Arial" w:eastAsia="等线" w:cs="Arial"/>
          <w:b/>
          <w:sz w:val="22"/>
        </w:rPr>
      </w:pPr>
    </w:p>
    <w:p w14:paraId="301B23AB">
      <w:pPr>
        <w:spacing w:before="120" w:after="120" w:line="288" w:lineRule="auto"/>
        <w:ind w:left="0"/>
        <w:jc w:val="center"/>
      </w:pPr>
      <w:r>
        <w:rPr>
          <w:rFonts w:ascii="Arial" w:hAnsi="Arial" w:eastAsia="等线" w:cs="Arial"/>
          <w:b/>
          <w:sz w:val="22"/>
        </w:rPr>
        <w:t>【实务指引】</w:t>
      </w:r>
    </w:p>
    <w:p w14:paraId="30B8F573">
      <w:pPr>
        <w:spacing w:before="120" w:after="120" w:line="288" w:lineRule="auto"/>
        <w:ind w:left="0"/>
        <w:jc w:val="left"/>
      </w:pPr>
    </w:p>
    <w:p w14:paraId="3225C2C3">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rPr>
        <w:t>数据资产保护与确权登记实践分析——兼论我国首例涉数据知识产权登记证书不正当竞争案</w:t>
      </w:r>
    </w:p>
    <w:p w14:paraId="2E9AB650">
      <w:pPr>
        <w:spacing w:before="120" w:after="120" w:line="288" w:lineRule="auto"/>
        <w:ind w:left="0"/>
        <w:jc w:val="left"/>
      </w:pPr>
      <w:r>
        <w:rPr>
          <w:rFonts w:ascii="Arial" w:hAnsi="Arial" w:eastAsia="等线" w:cs="Arial"/>
          <w:sz w:val="22"/>
        </w:rPr>
        <w:t xml:space="preserve">    </w:t>
      </w:r>
    </w:p>
    <w:p w14:paraId="73511F6B">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北京知识产权法院最近对一起涉及数据知识产权登记证书的不正当竞争案件作出了判决，确认了数据知识产权登记证书在司法程序中的证据作用。虽然这种证书不能直接赋予数据资产主体法定权利，但它可以作为证明数据资产权益归属的重要依据。</w:t>
      </w:r>
    </w:p>
    <w:p w14:paraId="026A9EE7">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自财政部发布的《企业数据资源相关会计处理暂行规定》于2024年1月1日正式实施以来，企业数据资产变现迅速加速。通过数据资产交易、入表、出资、质押融资等途径，数据资产的热度已经从理论研究层面迅速进入实践层面。随着数据资产市场的愈发活跃，数据资产确权问题成为市场发展的基础性问题。目前存在法律规定模糊、实务做法多样、缺乏统一标准等问题。如果不解决这些问题，将难以发挥数据这一新的生产要素在市场上的活力，也难以在纠纷发生时通过周延的权利架构保护权利人。</w:t>
      </w:r>
    </w:p>
    <w:p w14:paraId="130D2E29">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数据资产确权主要基于2022年发布的《数据二十条》，旨在最大化数据价值并促进数字经济红利共享。该政策提出数据资源持有权、数据加工使用权和数据产品经营权三权分置的框架，以解决实际问题，突破传统权利限制，强调使用权。《企业数据资源相关会计处理暂行规定》进一步明确了数据作为无形资产或存货的会计处理方法，推动数据资产确权。《暂行规定》指出，数据资产应具备合法性、排他性、价值性和可计量性四个特征，涵盖原始数据集合、过程类数据集合和可应用的数据产品等类型。确权登记是管理数据资产的重要环节，涉及数据知识产权登记、数据资产登记和数据产品登记等方面。这一系列措施共同构成了当前中国数据资产确权的制度框架和实践路径。</w:t>
      </w:r>
    </w:p>
    <w:p w14:paraId="62CC7114">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数据资产确权登记主要有五种方式：数据知识产权登记、数据资产登记、数据产品登记、数据资源公证和数据要素综合登记。这些方式都旨在确权，但由于法律无明确规定，实际上并不能达到确权目的。目前，各地在数据确权登记上存在差异，缺乏统一标准。虽然登记本身并不产生确权效力，但所产生的证明效力是不可忽视的。因此，需要建立公共数据、企业数据、个人数据的分类分级确权授权制度，并根据不同类型的数据资产确定权利保护模式。</w:t>
      </w:r>
    </w:p>
    <w:p w14:paraId="113BD2F8">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全国首例涉数据知识产权登记证书竞争案揭示了数据资产保护和确权的几个关键启示。首先，现行法律通过《反不正当竞争法》将不构成传统民事权利的数据资产作为竞争利益加以保护。其次，尽管数据确权登记的主要功能并非确权，但它能为数据权益的归属提供具有第三方公示性的证据。在具体案例中，数某某公司的数据集因缺乏独创性而不被认定为著作权保护对象，且由于已公开发布，失去了商业秘密的属性。尽管如此，北京知识产权法院认定该公司对数据集拥有竞争利益，隐某公司的行为构成不正当竞争。此外，法院指出数据知识产权登记证书虽不直接确认数据财产权，但可作为相关财产性利益和数据来源合法性的初步证据。</w:t>
      </w:r>
    </w:p>
    <w:p w14:paraId="3494CDEE">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实务建议方面，目前数据资源持有权、使用权和产品经营权尚无法律明确规定，而数据确权需求随数字经济发展日益迫切。现有的数据确权登记模式虽不具备法律确权效力，却作为第三方公示证据在数据交易和纠纷处理中发挥重要作用。最终解决方案需国家层面出台系统的数据权利保护立法，统一登记平台和标准，以促进数据资产流通并激发市场活力。《中共中央关于进一步全面深化改革推进中国式现代化的决定》已提出加快建立相关制度，预示着国家层面确立数据资产确权保护制度的可能性。</w:t>
      </w:r>
    </w:p>
    <w:p w14:paraId="40DB9E72">
      <w:pPr>
        <w:spacing w:before="120" w:after="120" w:line="288" w:lineRule="auto"/>
        <w:jc w:val="left"/>
        <w:rPr>
          <w:rFonts w:hint="eastAsia" w:ascii="Arial" w:hAnsi="Arial" w:eastAsia="等线" w:cs="Arial"/>
          <w:sz w:val="22"/>
        </w:rPr>
      </w:pPr>
    </w:p>
    <w:p w14:paraId="4636DD8E">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提供人：</w:t>
      </w:r>
      <w:r>
        <w:rPr>
          <w:rFonts w:hint="eastAsia" w:ascii="Arial" w:hAnsi="Arial" w:eastAsia="等线" w:cs="Arial"/>
          <w:sz w:val="22"/>
        </w:rPr>
        <w:t>李炳录</w:t>
      </w:r>
      <w:r>
        <w:rPr>
          <w:rFonts w:hint="eastAsia" w:ascii="Arial" w:hAnsi="Arial" w:eastAsia="等线" w:cs="Arial"/>
          <w:sz w:val="22"/>
          <w:lang w:val="en-US" w:eastAsia="zh-CN"/>
        </w:rPr>
        <w:t xml:space="preserve"> 北京德恒(武汉)律师事务所</w:t>
      </w:r>
    </w:p>
    <w:p w14:paraId="521099FC">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摘</w:t>
      </w:r>
      <w:r>
        <w:rPr>
          <w:rFonts w:hint="eastAsia" w:ascii="Arial" w:hAnsi="Arial" w:eastAsia="等线" w:cs="Arial"/>
          <w:b w:val="0"/>
          <w:bCs/>
          <w:sz w:val="22"/>
          <w:lang w:val="en-US" w:eastAsia="zh-CN"/>
        </w:rPr>
        <w:t>自</w:t>
      </w:r>
      <w:r>
        <w:rPr>
          <w:rFonts w:hint="eastAsia" w:ascii="Arial" w:hAnsi="Arial" w:eastAsia="等线" w:cs="Arial"/>
          <w:sz w:val="22"/>
          <w:lang w:val="en-US" w:eastAsia="zh-CN"/>
        </w:rPr>
        <w:t>法盏微信公众号</w:t>
      </w:r>
    </w:p>
    <w:p w14:paraId="2A165885">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"https://mp.weixin.qq.com/s/PoIEJrYCloL7I-CzMmzgcQ" </w:instrText>
      </w:r>
      <w:r>
        <w:rPr>
          <w:rFonts w:hint="eastAsia" w:ascii="Arial" w:hAnsi="Arial" w:eastAsia="等线" w:cs="Arial"/>
          <w:color w:val="3370FF"/>
          <w:sz w:val="22"/>
          <w:u w:val="single"/>
        </w:rPr>
        <w:fldChar w:fldCharType="separate"/>
      </w:r>
      <w:r>
        <w:rPr>
          <w:rStyle w:val="5"/>
          <w:rFonts w:hint="eastAsia" w:ascii="Arial" w:hAnsi="Arial" w:eastAsia="等线" w:cs="Arial"/>
          <w:color w:val="3370FF"/>
          <w:sz w:val="22"/>
        </w:rPr>
        <w:t>https://mp.weixin.qq.com/s/PoIEJrYCloL7I-CzMmzgcQ</w:t>
      </w:r>
      <w:r>
        <w:rPr>
          <w:rFonts w:hint="eastAsia" w:ascii="Arial" w:hAnsi="Arial" w:eastAsia="等线" w:cs="Arial"/>
          <w:color w:val="3370FF"/>
          <w:sz w:val="22"/>
          <w:u w:val="single"/>
        </w:rPr>
        <w:fldChar w:fldCharType="end"/>
      </w:r>
    </w:p>
    <w:p w14:paraId="4583A864">
      <w:pPr>
        <w:spacing w:before="120" w:after="120" w:line="288" w:lineRule="auto"/>
        <w:ind w:left="0"/>
        <w:jc w:val="left"/>
        <w:rPr>
          <w:rFonts w:hint="eastAsia" w:ascii="Arial" w:hAnsi="Arial" w:eastAsia="等线" w:cs="Arial"/>
          <w:color w:val="3370FF"/>
          <w:sz w:val="22"/>
          <w:u w:val="single"/>
        </w:rPr>
      </w:pPr>
    </w:p>
    <w:p w14:paraId="0BB662C8">
      <w:pPr>
        <w:spacing w:before="120" w:after="120" w:line="288" w:lineRule="auto"/>
        <w:ind w:left="0"/>
        <w:jc w:val="center"/>
        <w:rPr>
          <w:rFonts w:ascii="Arial" w:hAnsi="Arial" w:eastAsia="等线" w:cs="Arial"/>
          <w:b/>
          <w:sz w:val="22"/>
        </w:rPr>
      </w:pPr>
    </w:p>
    <w:p w14:paraId="079A4B29">
      <w:pPr>
        <w:spacing w:before="120" w:after="120" w:line="288" w:lineRule="auto"/>
        <w:ind w:left="0"/>
        <w:jc w:val="center"/>
      </w:pPr>
      <w:r>
        <w:rPr>
          <w:rFonts w:ascii="Arial" w:hAnsi="Arial" w:eastAsia="等线" w:cs="Arial"/>
          <w:b/>
          <w:sz w:val="22"/>
        </w:rPr>
        <w:t>【法律产品】</w:t>
      </w:r>
    </w:p>
    <w:p w14:paraId="449330C6">
      <w:pPr>
        <w:spacing w:before="120" w:after="120" w:line="288" w:lineRule="auto"/>
        <w:ind w:left="0"/>
        <w:jc w:val="left"/>
      </w:pPr>
    </w:p>
    <w:p w14:paraId="11A8DE68">
      <w:pPr>
        <w:spacing w:before="120" w:after="120" w:line="288" w:lineRule="auto"/>
        <w:ind w:left="0"/>
        <w:jc w:val="left"/>
        <w:rPr>
          <w:rFonts w:hint="eastAsia" w:ascii="Arial" w:hAnsi="Arial" w:eastAsia="等线" w:cs="Arial"/>
          <w:b/>
          <w:color w:val="245BDB"/>
          <w:sz w:val="22"/>
          <w:lang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eastAsia="zh-CN"/>
        </w:rPr>
        <w:t>《上市数据合规法律服务》</w:t>
      </w:r>
    </w:p>
    <w:p w14:paraId="62FFEF84">
      <w:pPr>
        <w:spacing w:before="120" w:after="120" w:line="288" w:lineRule="auto"/>
        <w:ind w:left="0"/>
        <w:jc w:val="left"/>
        <w:rPr>
          <w:rFonts w:hint="eastAsia" w:ascii="Arial" w:hAnsi="Arial" w:eastAsia="等线" w:cs="Arial"/>
          <w:b/>
          <w:color w:val="245BDB"/>
          <w:sz w:val="22"/>
          <w:lang w:eastAsia="zh-CN"/>
        </w:rPr>
      </w:pPr>
    </w:p>
    <w:p w14:paraId="4114B995">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在数字经济时代背景下，国家对上市企业可能威胁国家安全表示关注。为应对这一挑战，中央网信办与十二个部委联合推出《网络安全审查办法》，同时证监会发布《境内企业境外发行证券及上市管理试行办法》。这些措施旨在确保拟上市企业在满足上市条件的同时，能够应对日常运营中的数据合规风险。实际上，超过80%的境外上市企业在招股说明书中提到了数据合规问题，超过40%的企业面临证监会关于数据合规的询问。在这种环境下，数据合规在企业上市过程中的重要性日益凸显。</w:t>
      </w:r>
    </w:p>
    <w:p w14:paraId="1F8FF7A9">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rPr>
        <w:t>国浩北京合伙人胡静及其团队推出了一款专业的上市数据合规法律服务产品，为客户提供全面的数据合规法律服务，涵盖境内拟上市企业在上市前、中、后期的所有需求。主要服务包括尽职调查、数据合规性整改与指导、网络安全审查（如适用）、出具数据合规法律意见书，以及协助回应证监会和交易所的询问。基于客户的具体行业和数据情况，定制尽职调查清单，进行现场访谈和系统核查，并提供APP/小程序的合规性检查。此外，还协助构建数据合规体系，包括管理制度和流程，并协助准备相关监管材料和回复。简而言之，本产品的目标是确保拟上市企业在整个上市流程中保持数据的合规性，帮助企业顺利通过各种审查和质询，从而加速上市进程并保障长期合规运营。</w:t>
      </w:r>
    </w:p>
    <w:p w14:paraId="36114D98">
      <w:pPr>
        <w:spacing w:before="120" w:after="120" w:line="288" w:lineRule="auto"/>
        <w:ind w:left="0" w:firstLine="440" w:firstLineChars="200"/>
        <w:jc w:val="left"/>
        <w:rPr>
          <w:rFonts w:hint="default" w:ascii="Arial" w:hAnsi="Arial" w:eastAsia="等线" w:cs="Arial"/>
          <w:sz w:val="22"/>
          <w:lang w:val="en-US" w:eastAsia="zh-CN"/>
        </w:rPr>
      </w:pPr>
    </w:p>
    <w:p w14:paraId="20D1FF5E">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国浩律师事务所微信公众号</w:t>
      </w:r>
    </w:p>
    <w:p w14:paraId="34F6A62F">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"https://mp.weixin.qq.com/s/bsshrVt5YjyKMrfFhpxYXA" </w:instrText>
      </w:r>
      <w:r>
        <w:rPr>
          <w:rFonts w:hint="eastAsia" w:ascii="Arial" w:hAnsi="Arial" w:eastAsia="等线" w:cs="Arial"/>
          <w:color w:val="3370FF"/>
          <w:sz w:val="22"/>
          <w:u w:val="single"/>
        </w:rPr>
        <w:fldChar w:fldCharType="separate"/>
      </w:r>
      <w:r>
        <w:rPr>
          <w:rStyle w:val="5"/>
          <w:rFonts w:hint="eastAsia" w:ascii="Arial" w:hAnsi="Arial" w:eastAsia="等线" w:cs="Arial"/>
          <w:color w:val="3370FF"/>
          <w:sz w:val="22"/>
        </w:rPr>
        <w:t>https://mp.weixin.qq.com/s/bsshrVt5YjyKMrfFhpxYXA</w:t>
      </w:r>
      <w:r>
        <w:rPr>
          <w:rFonts w:hint="eastAsia" w:ascii="Arial" w:hAnsi="Arial" w:eastAsia="等线" w:cs="Arial"/>
          <w:color w:val="3370FF"/>
          <w:sz w:val="22"/>
          <w:u w:val="single"/>
        </w:rPr>
        <w:fldChar w:fldCharType="end"/>
      </w:r>
    </w:p>
    <w:p w14:paraId="15F48285">
      <w:pPr>
        <w:spacing w:before="120" w:after="120" w:line="288" w:lineRule="auto"/>
        <w:ind w:left="0"/>
        <w:jc w:val="both"/>
        <w:rPr>
          <w:rFonts w:hint="eastAsia" w:ascii="Arial" w:hAnsi="Arial" w:eastAsia="等线" w:cs="Arial"/>
          <w:color w:val="3370FF"/>
          <w:sz w:val="22"/>
          <w:u w:val="single"/>
        </w:rPr>
      </w:pPr>
    </w:p>
    <w:p w14:paraId="69D14B91">
      <w:pPr>
        <w:spacing w:before="120" w:after="120" w:line="288" w:lineRule="auto"/>
        <w:ind w:left="0"/>
        <w:jc w:val="center"/>
        <w:rPr>
          <w:rFonts w:ascii="Arial" w:hAnsi="Arial" w:eastAsia="等线" w:cs="Arial"/>
          <w:b/>
          <w:sz w:val="22"/>
        </w:rPr>
      </w:pPr>
    </w:p>
    <w:p w14:paraId="7D7F2637">
      <w:pPr>
        <w:spacing w:before="120" w:after="120" w:line="288" w:lineRule="auto"/>
        <w:ind w:left="0"/>
        <w:jc w:val="center"/>
      </w:pPr>
      <w:r>
        <w:rPr>
          <w:rFonts w:ascii="Arial" w:hAnsi="Arial" w:eastAsia="等线" w:cs="Arial"/>
          <w:b/>
          <w:sz w:val="22"/>
        </w:rPr>
        <w:t>【动态信息】</w:t>
      </w:r>
    </w:p>
    <w:p w14:paraId="0150EC79">
      <w:pPr>
        <w:spacing w:before="120" w:after="120" w:line="288" w:lineRule="auto"/>
        <w:ind w:left="0"/>
        <w:jc w:val="left"/>
      </w:pPr>
      <w:r>
        <w:rPr>
          <w:rFonts w:ascii="Arial" w:hAnsi="Arial" w:eastAsia="等线" w:cs="Arial"/>
          <w:sz w:val="22"/>
        </w:rPr>
        <w:t xml:space="preserve"> </w:t>
      </w:r>
    </w:p>
    <w:p w14:paraId="6C02461B">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欧盟《人工智能法案》正式公布</w:t>
      </w:r>
    </w:p>
    <w:p w14:paraId="33C797B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4F4C233">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 xml:space="preserve"> 2024年7月12日，《欧盟官方公报》发布了第2024/1689号条例——欧盟人工智能法案。这一具有里程碑意义的立法涵盖了180个序言、113条条款和13个附件，为在欧盟境内开发、部署和使用人工智能系统建立了全面的框架。该法案旨在保护基本权利，确保公共安全，并促进符合伦理和以人为本的人工智能创新。它建立了一个全面的监管框架，其管辖范围延伸至在欧盟境内运营的公共和私营实体，这反映了人工智能技术的普及及其对欧盟公民的潜在影响。受此法规约束的主要实体包括人工智能系统提供者、人工智能系统用户、进口商和分销商及第三国实体。此外，该法案还引入了几项利益相关者必须遵守的关键条款，这些条款包括基于风险的分类、禁止行为、透明度义务、数据治理和市场监督等。该法案建立了世界上首个全面的人工智能监管框架，并在立法上采取了分阶段生效的方法。</w:t>
      </w:r>
    </w:p>
    <w:p w14:paraId="4C238489">
      <w:pPr>
        <w:spacing w:before="120" w:after="120" w:line="288" w:lineRule="auto"/>
        <w:ind w:firstLine="440" w:firstLineChars="200"/>
        <w:jc w:val="left"/>
        <w:rPr>
          <w:rFonts w:hint="default" w:ascii="Arial" w:hAnsi="Arial" w:eastAsia="等线" w:cs="Arial"/>
          <w:sz w:val="22"/>
          <w:lang w:val="en-US" w:eastAsia="zh-CN"/>
        </w:rPr>
      </w:pPr>
    </w:p>
    <w:p w14:paraId="49073F98">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腾讯网</w:t>
      </w:r>
    </w:p>
    <w:p w14:paraId="549D00C2">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https://new.qq.com/rain/a/20240715A06PVT00</w:t>
      </w:r>
    </w:p>
    <w:p w14:paraId="318E0495">
      <w:pPr>
        <w:spacing w:before="120" w:after="120" w:line="288" w:lineRule="auto"/>
        <w:ind w:left="0"/>
        <w:jc w:val="left"/>
      </w:pPr>
    </w:p>
    <w:p w14:paraId="1AD652C3">
      <w:pPr>
        <w:spacing w:before="120" w:after="120" w:line="288" w:lineRule="auto"/>
        <w:ind w:left="0"/>
        <w:jc w:val="left"/>
      </w:pPr>
    </w:p>
    <w:p w14:paraId="5DCFF148">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网络安全</w:t>
      </w:r>
      <w:r>
        <w:rPr>
          <w:rFonts w:ascii="Arial" w:hAnsi="Arial" w:eastAsia="等线" w:cs="Arial"/>
          <w:b/>
          <w:color w:val="245BDB"/>
          <w:sz w:val="22"/>
        </w:rPr>
        <w:t xml:space="preserve">] </w:t>
      </w:r>
      <w:r>
        <w:rPr>
          <w:rFonts w:hint="eastAsia" w:ascii="Arial" w:hAnsi="Arial" w:eastAsia="等线" w:cs="Arial"/>
          <w:b/>
          <w:color w:val="245BDB"/>
          <w:sz w:val="22"/>
        </w:rPr>
        <w:t>国际标准《网络安全 物联网安全与隐私 家庭物联网指南》正式发布</w:t>
      </w:r>
    </w:p>
    <w:p w14:paraId="6559318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10EF5A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 xml:space="preserve"> 我国牵头提出的国际标准ISO/IEC 27403：2024《网络安全 物联网安全与隐私 家庭物联网指南》（Cybersecurity – IoT security and privacy – Guidelines for IoT-domotics）正式发布。该提案于2018年4月提交至ISO/IEC JTC1/SC27，后经研究，于2019年10月正式立项；2024年6月正式发布。家庭物联网系统具有终端异构、人机交互复杂、智能应用泛在等特点，面临网络安全和隐私保护的多重压力。针对这些特点，ISO/IEC 27403识别了家庭物联网系统的主要相关方以及各自的生命周期阶段，分析了家庭物联网系统的安全和隐私风险，并从网络安全、人工智能安全、数据安全等方面提出了安全控制措施。该标准可指导相关方防范家庭物联网系统中的安全风险，对于提升家庭物联网安全与隐私风险防护能力，完善物联网安全标准体系具有积极作用。</w:t>
      </w:r>
    </w:p>
    <w:p w14:paraId="45336084">
      <w:pPr>
        <w:spacing w:before="120" w:after="120" w:line="288" w:lineRule="auto"/>
        <w:ind w:firstLine="440" w:firstLineChars="200"/>
        <w:jc w:val="left"/>
        <w:rPr>
          <w:rFonts w:hint="default" w:ascii="Arial" w:hAnsi="Arial" w:eastAsia="等线" w:cs="Arial"/>
          <w:sz w:val="22"/>
          <w:lang w:val="en-US" w:eastAsia="zh-CN"/>
        </w:rPr>
      </w:pPr>
    </w:p>
    <w:p w14:paraId="6BEF00E9">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腾讯网</w:t>
      </w:r>
    </w:p>
    <w:p w14:paraId="52D53782">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https://new.qq.com/rain/a/20240715A06PVT00</w:t>
      </w:r>
    </w:p>
    <w:p w14:paraId="6728CDD0">
      <w:pPr>
        <w:spacing w:before="120" w:after="120" w:line="288" w:lineRule="auto"/>
        <w:ind w:left="0"/>
        <w:jc w:val="left"/>
      </w:pPr>
    </w:p>
    <w:p w14:paraId="7F037319">
      <w:pPr>
        <w:spacing w:before="120" w:after="120" w:line="288" w:lineRule="auto"/>
        <w:ind w:left="0"/>
        <w:jc w:val="left"/>
      </w:pPr>
    </w:p>
    <w:p w14:paraId="2E5A5099">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我国人工智能产业将新制定50项以上国家标准和行业标准</w:t>
      </w:r>
    </w:p>
    <w:p w14:paraId="61ED961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72CD56E6">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 xml:space="preserve"> 工业和信息化部、中央网信办、国家发展改革委、国家标准委等四部门联合发布计划，旨在到2026年提升人工智能产业标准与科技创新的联动水平。目标包括制定超过50项新的国家标准和行业标准，以加速形成引领人工智能产业高质量发展的标准体系。近年来，中国人工智能产业在多个领域快速发展，展现出技术创新、行业融合和国际合作等新趋势。发布的《国家人工智能产业综合标准化体系建设指南（2024版）》明确了七大标准化建设方向，包括基础共性、支撑技术、关键技术、产品与服务、赋能新型工业化、行业应用、安全/治理等方面。这些措施将加强人工智能标准化工作，推动技术进步和企业成长，保障产业安全，并促进人工智能技术在新型工业化中的应用。</w:t>
      </w:r>
    </w:p>
    <w:p w14:paraId="6E683633">
      <w:pPr>
        <w:spacing w:before="120" w:after="120" w:line="288" w:lineRule="auto"/>
        <w:ind w:firstLine="440" w:firstLineChars="200"/>
        <w:jc w:val="left"/>
        <w:rPr>
          <w:rFonts w:hint="default" w:ascii="Arial" w:hAnsi="Arial" w:eastAsia="等线" w:cs="Arial"/>
          <w:sz w:val="22"/>
          <w:lang w:val="en-US" w:eastAsia="zh-CN"/>
        </w:rPr>
      </w:pPr>
    </w:p>
    <w:p w14:paraId="309423E8">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中国政府网</w:t>
      </w:r>
    </w:p>
    <w:p w14:paraId="29B77BAF">
      <w:pPr>
        <w:spacing w:before="120" w:after="120" w:line="288" w:lineRule="auto"/>
        <w:ind w:left="0"/>
        <w:jc w:val="left"/>
        <w:rPr>
          <w:rFonts w:ascii="Arial" w:hAnsi="Arial" w:eastAsia="等线" w:cs="Arial"/>
          <w:sz w:val="22"/>
        </w:rPr>
      </w:pPr>
      <w:r>
        <w:rPr>
          <w:rFonts w:hint="eastAsia" w:ascii="Arial" w:hAnsi="Arial" w:eastAsia="等线" w:cs="Arial"/>
          <w:color w:val="3370FF"/>
          <w:sz w:val="22"/>
          <w:u w:val="single"/>
        </w:rPr>
        <w:t>https://www.gov.cn/lianbo/bumen/202407/content_6960709.htm#:~:text=%E6%96%B0%E5%8D%8E%E7%A4%BE%E5%8C%97%E4%BA%AC7%E6%9C%882,%E5%87%86%E4%BD%93%E7%B3%BB%E5%8A%A0%E5%BF%AB%E5%BD%A2%E6%88%90%E3%80%82</w:t>
      </w:r>
      <w:r>
        <w:rPr>
          <w:rFonts w:ascii="Arial" w:hAnsi="Arial" w:eastAsia="等线" w:cs="Arial"/>
          <w:sz w:val="22"/>
        </w:rPr>
        <w:t xml:space="preserve"> </w:t>
      </w:r>
    </w:p>
    <w:p w14:paraId="7AF4BC48">
      <w:pPr>
        <w:spacing w:before="120" w:after="120" w:line="288" w:lineRule="auto"/>
        <w:ind w:left="0"/>
        <w:jc w:val="left"/>
        <w:rPr>
          <w:rFonts w:ascii="Arial" w:hAnsi="Arial" w:eastAsia="等线" w:cs="Arial"/>
          <w:sz w:val="22"/>
        </w:rPr>
      </w:pPr>
    </w:p>
    <w:p w14:paraId="331795F3">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14:paraId="2C5BC384">
      <w:pPr>
        <w:spacing w:before="120" w:after="120" w:line="288" w:lineRule="auto"/>
        <w:ind w:left="0"/>
        <w:jc w:val="left"/>
        <w:rPr>
          <w:rFonts w:ascii="Arial" w:hAnsi="Arial" w:eastAsia="等线" w:cs="Arial"/>
          <w:sz w:val="22"/>
        </w:rPr>
      </w:pPr>
    </w:p>
    <w:p w14:paraId="67E8D6A4">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14:paraId="77147EA4">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214C1399"/>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0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F4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TA2NTM0ZDQxMjY2MTEwNmY0N2VkZDQ4ZGZhMDIifQ=="/>
  </w:docVars>
  <w:rsids>
    <w:rsidRoot w:val="109C5C29"/>
    <w:rsid w:val="109C5C29"/>
    <w:rsid w:val="29FC6D97"/>
    <w:rsid w:val="71F5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5952</Words>
  <Characters>6802</Characters>
  <Lines>0</Lines>
  <Paragraphs>0</Paragraphs>
  <TotalTime>42</TotalTime>
  <ScaleCrop>false</ScaleCrop>
  <LinksUpToDate>false</LinksUpToDate>
  <CharactersWithSpaces>6848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2024-07-22T08:52:00Z</dcterms:created>
  <dc:creator>BL</dc:creator>
  <cp:lastModifiedBy>BL</cp:lastModifiedBy>
  <dcterms:modified xsi:type="dcterms:W3CDTF">2024-08-22T08:15:44Z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A2B556CBAE2D465D860F54AFDA26682D_11</vt:lpwstr>
  </property>
</Properties>
</file>