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88" w:lineRule="auto"/>
        <w:ind w:left="0"/>
        <w:jc w:val="center"/>
        <w:rPr>
          <w:sz w:val="44"/>
          <w:szCs w:val="44"/>
        </w:rPr>
      </w:pPr>
      <w:r>
        <w:rPr>
          <w:rFonts w:ascii="Arial" w:hAnsi="Arial" w:eastAsia="等线" w:cs="Arial"/>
          <w:b/>
          <w:sz w:val="44"/>
          <w:szCs w:val="44"/>
        </w:rPr>
        <w:t>数字经济法律服务月刊 2024年</w:t>
      </w:r>
      <w:r>
        <w:rPr>
          <w:rFonts w:hint="eastAsia" w:ascii="Arial" w:hAnsi="Arial" w:eastAsia="等线" w:cs="Arial"/>
          <w:b/>
          <w:sz w:val="44"/>
          <w:szCs w:val="44"/>
          <w:lang w:val="en-US" w:eastAsia="zh-CN"/>
        </w:rPr>
        <w:t>4</w:t>
      </w:r>
      <w:r>
        <w:rPr>
          <w:rFonts w:ascii="Arial" w:hAnsi="Arial" w:eastAsia="等线" w:cs="Arial"/>
          <w:b/>
          <w:sz w:val="44"/>
          <w:szCs w:val="44"/>
        </w:rPr>
        <w:t>月刊</w:t>
      </w:r>
    </w:p>
    <w:p>
      <w:pPr>
        <w:spacing w:before="120" w:after="120" w:line="288" w:lineRule="auto"/>
        <w:ind w:left="0"/>
        <w:jc w:val="center"/>
      </w:pPr>
      <w:r>
        <w:rPr>
          <w:rFonts w:ascii="Arial" w:hAnsi="Arial" w:eastAsia="等线" w:cs="Arial"/>
          <w:b/>
          <w:sz w:val="22"/>
        </w:rPr>
        <w:t xml:space="preserve"> </w:t>
      </w:r>
    </w:p>
    <w:p>
      <w:pPr>
        <w:spacing w:before="120" w:after="120" w:line="288" w:lineRule="auto"/>
        <w:ind w:left="0"/>
        <w:jc w:val="center"/>
      </w:pPr>
      <w:r>
        <w:rPr>
          <w:rFonts w:ascii="Arial" w:hAnsi="Arial" w:eastAsia="等线" w:cs="Arial"/>
          <w:b/>
          <w:sz w:val="22"/>
        </w:rPr>
        <w:t>【立法前沿】</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 xml:space="preserve">[数据网络] </w:t>
      </w:r>
      <w:r>
        <w:rPr>
          <w:rFonts w:hint="eastAsia" w:ascii="Arial" w:hAnsi="Arial" w:eastAsia="等线" w:cs="Arial"/>
          <w:b/>
          <w:color w:val="245BDB"/>
          <w:sz w:val="22"/>
          <w:lang w:val="en-US" w:eastAsia="zh-CN"/>
        </w:rPr>
        <w:t>中华人民共和国</w:t>
      </w:r>
      <w:r>
        <w:rPr>
          <w:rFonts w:hint="eastAsia" w:ascii="Arial" w:hAnsi="Arial" w:eastAsia="等线" w:cs="Arial"/>
          <w:b/>
          <w:color w:val="245BDB"/>
          <w:sz w:val="22"/>
        </w:rPr>
        <w:t>商务部印发《数字商务三年行动计划（2024-2026年）》</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hint="eastAsia" w:ascii="Arial" w:hAnsi="Arial" w:eastAsia="等线" w:cs="Arial"/>
          <w:sz w:val="22"/>
        </w:rPr>
        <w:t>为贯彻落实党中央、国务院关于发展数字经济的决策部署，更好推动商务各领域数字化转型，赋能经济社会发展，服务构建新发展格局，</w:t>
      </w:r>
      <w:r>
        <w:rPr>
          <w:rFonts w:hint="eastAsia" w:ascii="Arial" w:hAnsi="Arial" w:eastAsia="等线" w:cs="Arial"/>
          <w:sz w:val="22"/>
          <w:lang w:val="en-US" w:eastAsia="zh-CN"/>
        </w:rPr>
        <w:t>商务部于2024年4月26日</w:t>
      </w:r>
      <w:r>
        <w:rPr>
          <w:rFonts w:hint="eastAsia" w:ascii="Arial" w:hAnsi="Arial" w:eastAsia="等线" w:cs="Arial"/>
          <w:sz w:val="22"/>
        </w:rPr>
        <w:t>制定《数字商务三年行动计划（2024-2026年）》。</w:t>
      </w:r>
      <w:r>
        <w:rPr>
          <w:rFonts w:hint="eastAsia" w:ascii="Arial" w:hAnsi="Arial" w:eastAsia="等线" w:cs="Arial"/>
          <w:sz w:val="22"/>
          <w:lang w:val="en-US" w:eastAsia="zh-CN"/>
        </w:rPr>
        <w:t>该</w:t>
      </w:r>
      <w:r>
        <w:rPr>
          <w:rFonts w:hint="eastAsia" w:ascii="Arial" w:hAnsi="Arial" w:eastAsia="等线" w:cs="Arial"/>
          <w:sz w:val="22"/>
        </w:rPr>
        <w:t>《行动计划》</w:t>
      </w:r>
      <w:r>
        <w:rPr>
          <w:rFonts w:hint="eastAsia" w:ascii="Arial" w:hAnsi="Arial" w:eastAsia="等线" w:cs="Arial"/>
          <w:sz w:val="22"/>
          <w:lang w:val="en-US" w:eastAsia="zh-CN"/>
        </w:rPr>
        <w:t>涉及</w:t>
      </w:r>
      <w:r>
        <w:rPr>
          <w:rFonts w:hint="eastAsia" w:ascii="Arial" w:hAnsi="Arial" w:eastAsia="等线" w:cs="Arial"/>
          <w:sz w:val="22"/>
        </w:rPr>
        <w:t>5项重点行动</w:t>
      </w:r>
      <w:r>
        <w:rPr>
          <w:rFonts w:hint="eastAsia" w:ascii="Arial" w:hAnsi="Arial" w:eastAsia="等线" w:cs="Arial"/>
          <w:sz w:val="22"/>
          <w:lang w:eastAsia="zh-CN"/>
        </w:rPr>
        <w:t>，</w:t>
      </w:r>
      <w:r>
        <w:rPr>
          <w:rFonts w:hint="eastAsia" w:ascii="Arial" w:hAnsi="Arial" w:eastAsia="等线" w:cs="Arial"/>
          <w:sz w:val="22"/>
          <w:lang w:val="en-US" w:eastAsia="zh-CN"/>
        </w:rPr>
        <w:t>包括：</w:t>
      </w:r>
      <w:r>
        <w:rPr>
          <w:rFonts w:hint="eastAsia" w:ascii="Arial" w:hAnsi="Arial" w:eastAsia="等线" w:cs="Arial"/>
          <w:sz w:val="22"/>
        </w:rPr>
        <w:t>开展“数商强基”行动，提出培育创新主体、构建监测评价体系、提升治理水平、强化智力支撑、推动规范发展5项举措，持续夯实数字商务发展基础</w:t>
      </w:r>
      <w:r>
        <w:rPr>
          <w:rFonts w:hint="eastAsia" w:ascii="Arial" w:hAnsi="Arial" w:eastAsia="等线" w:cs="Arial"/>
          <w:sz w:val="22"/>
          <w:lang w:eastAsia="zh-CN"/>
        </w:rPr>
        <w:t>；</w:t>
      </w:r>
      <w:r>
        <w:rPr>
          <w:rFonts w:hint="eastAsia" w:ascii="Arial" w:hAnsi="Arial" w:eastAsia="等线" w:cs="Arial"/>
          <w:sz w:val="22"/>
        </w:rPr>
        <w:t>开展“数商扩消”行动，提出培育壮大新型消费、促进线上线下融合、激发农村消费潜力、促进内外贸市场对接、推动商贸流通领域物流数字化发展5项举措，更好激发数字消费活力</w:t>
      </w:r>
      <w:r>
        <w:rPr>
          <w:rFonts w:hint="eastAsia" w:ascii="Arial" w:hAnsi="Arial" w:eastAsia="等线" w:cs="Arial"/>
          <w:sz w:val="22"/>
          <w:lang w:eastAsia="zh-CN"/>
        </w:rPr>
        <w:t>；</w:t>
      </w:r>
      <w:r>
        <w:rPr>
          <w:rFonts w:hint="eastAsia" w:ascii="Arial" w:hAnsi="Arial" w:eastAsia="等线" w:cs="Arial"/>
          <w:sz w:val="22"/>
        </w:rPr>
        <w:t>开展“数商兴贸”行动，提出提升贸易数字化水平、促进跨境电商出口、拓展服务贸易数字化内容、大力发展数字贸易4项举措，加快培育对外贸易新优势</w:t>
      </w:r>
      <w:r>
        <w:rPr>
          <w:rFonts w:hint="eastAsia" w:ascii="Arial" w:hAnsi="Arial" w:eastAsia="等线" w:cs="Arial"/>
          <w:sz w:val="22"/>
          <w:lang w:eastAsia="zh-CN"/>
        </w:rPr>
        <w:t>；</w:t>
      </w:r>
      <w:r>
        <w:rPr>
          <w:rFonts w:hint="eastAsia" w:ascii="Arial" w:hAnsi="Arial" w:eastAsia="等线" w:cs="Arial"/>
          <w:sz w:val="22"/>
        </w:rPr>
        <w:t>开展“数商兴产”行动，提出建强数字化产业链供应链、优化数字领域吸引外资环境、扩大数字领域对外投资合作3项举措，推动赋能现代化产业体系建设</w:t>
      </w:r>
      <w:r>
        <w:rPr>
          <w:rFonts w:hint="eastAsia" w:ascii="Arial" w:hAnsi="Arial" w:eastAsia="等线" w:cs="Arial"/>
          <w:sz w:val="22"/>
          <w:lang w:eastAsia="zh-CN"/>
        </w:rPr>
        <w:t>；</w:t>
      </w:r>
      <w:r>
        <w:rPr>
          <w:rFonts w:hint="eastAsia" w:ascii="Arial" w:hAnsi="Arial" w:eastAsia="等线" w:cs="Arial"/>
          <w:sz w:val="22"/>
        </w:rPr>
        <w:t>开展“数商开放”行动，提出拓展“丝路电商”合作空间、开展数字规则先行先试、积极参与全球数字经济治理3项举措，不断深化数字经济国际合作。</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中华人民共和国商务部</w:t>
      </w:r>
    </w:p>
    <w:p>
      <w:pPr>
        <w:spacing w:before="120" w:after="120" w:line="288" w:lineRule="auto"/>
        <w:ind w:left="0"/>
        <w:jc w:val="left"/>
      </w:pPr>
      <w:r>
        <w:rPr>
          <w:rFonts w:hint="eastAsia" w:ascii="Arial" w:hAnsi="Arial" w:eastAsia="等线" w:cs="Arial"/>
          <w:color w:val="3370FF"/>
          <w:sz w:val="22"/>
          <w:u w:val="single"/>
        </w:rPr>
        <w:t>http://www.mofcom.gov.cn/article/zwgk/gkgztz/202404/20240403506347.shtml</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rPr>
        <w:t>全国信息安全标准化技术委员会秘书处</w:t>
      </w:r>
      <w:r>
        <w:rPr>
          <w:rFonts w:ascii="Arial" w:hAnsi="Arial" w:eastAsia="等线" w:cs="Arial"/>
          <w:b/>
          <w:color w:val="245BDB"/>
          <w:sz w:val="22"/>
        </w:rPr>
        <w:t>就</w:t>
      </w:r>
      <w:r>
        <w:rPr>
          <w:rFonts w:hint="eastAsia" w:ascii="Arial" w:hAnsi="Arial" w:eastAsia="等线" w:cs="Arial"/>
          <w:b/>
          <w:color w:val="245BDB"/>
          <w:sz w:val="22"/>
          <w:lang w:val="en-US" w:eastAsia="zh-CN"/>
        </w:rPr>
        <w:t>国家标准</w:t>
      </w:r>
      <w:r>
        <w:rPr>
          <w:rFonts w:hint="eastAsia" w:ascii="Arial" w:hAnsi="Arial" w:eastAsia="等线" w:cs="Arial"/>
          <w:b/>
          <w:color w:val="245BDB"/>
          <w:sz w:val="22"/>
        </w:rPr>
        <w:t>《信息安全技术</w:t>
      </w:r>
      <w:r>
        <w:rPr>
          <w:rFonts w:hint="eastAsia" w:ascii="Arial" w:hAnsi="Arial" w:eastAsia="等线" w:cs="Arial"/>
          <w:b/>
          <w:color w:val="245BDB"/>
          <w:sz w:val="22"/>
          <w:lang w:val="en-US" w:eastAsia="zh-CN"/>
        </w:rPr>
        <w:t xml:space="preserve"> </w:t>
      </w:r>
      <w:r>
        <w:rPr>
          <w:rFonts w:hint="eastAsia" w:ascii="Arial" w:hAnsi="Arial" w:eastAsia="等线" w:cs="Arial"/>
          <w:b/>
          <w:color w:val="245BDB"/>
          <w:sz w:val="22"/>
        </w:rPr>
        <w:t>生成式人工智能数据标注安全规范》《信息安全技术 生成式人工智能预训练和优化训练数据安全规范》</w:t>
      </w:r>
      <w:r>
        <w:rPr>
          <w:rFonts w:ascii="Arial" w:hAnsi="Arial" w:eastAsia="等线" w:cs="Arial"/>
          <w:b/>
          <w:color w:val="245BDB"/>
          <w:sz w:val="22"/>
        </w:rPr>
        <w:t>公开征求意见</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ascii="Arial" w:hAnsi="Arial" w:eastAsia="等线" w:cs="Arial"/>
          <w:sz w:val="22"/>
        </w:rPr>
      </w:pPr>
      <w:r>
        <w:rPr>
          <w:rFonts w:hint="eastAsia" w:ascii="Arial" w:hAnsi="Arial" w:eastAsia="等线" w:cs="Arial"/>
          <w:sz w:val="22"/>
        </w:rPr>
        <w:t>2023年7月，中央网信办联合多部门发布《生成式人工智能服务管理暂行办法》，其中数据标注是其中重要内容，为落实</w:t>
      </w:r>
      <w:r>
        <w:rPr>
          <w:rFonts w:hint="eastAsia" w:ascii="Arial" w:hAnsi="Arial" w:eastAsia="等线" w:cs="Arial"/>
          <w:sz w:val="22"/>
          <w:lang w:val="en-US" w:eastAsia="zh-CN"/>
        </w:rPr>
        <w:t>前述</w:t>
      </w:r>
      <w:r>
        <w:rPr>
          <w:rFonts w:hint="eastAsia" w:ascii="Arial" w:hAnsi="Arial" w:eastAsia="等线" w:cs="Arial"/>
          <w:sz w:val="22"/>
        </w:rPr>
        <w:t>《暂行办法》的相关要求，</w:t>
      </w:r>
      <w:r>
        <w:rPr>
          <w:rFonts w:hint="eastAsia" w:ascii="Arial" w:hAnsi="Arial" w:eastAsia="等线" w:cs="Arial"/>
          <w:sz w:val="22"/>
          <w:lang w:val="en-US" w:eastAsia="zh-CN"/>
        </w:rPr>
        <w:t>全国信息安全标准化技术委员会秘书处编制</w:t>
      </w:r>
      <w:r>
        <w:rPr>
          <w:rFonts w:ascii="Arial" w:hAnsi="Arial" w:eastAsia="等线" w:cs="Arial"/>
          <w:sz w:val="22"/>
        </w:rPr>
        <w:t>了《</w:t>
      </w:r>
      <w:r>
        <w:rPr>
          <w:rFonts w:hint="eastAsia" w:ascii="Arial" w:hAnsi="Arial" w:eastAsia="等线" w:cs="Arial"/>
          <w:sz w:val="22"/>
        </w:rPr>
        <w:t>信息安全技术生成式人工智能数据标注安全规范</w:t>
      </w:r>
      <w:r>
        <w:rPr>
          <w:rFonts w:ascii="Arial" w:hAnsi="Arial" w:eastAsia="等线" w:cs="Arial"/>
          <w:sz w:val="22"/>
        </w:rPr>
        <w:t>》</w:t>
      </w:r>
      <w:r>
        <w:rPr>
          <w:rFonts w:hint="eastAsia" w:ascii="Arial" w:hAnsi="Arial" w:eastAsia="等线" w:cs="Arial"/>
          <w:sz w:val="22"/>
        </w:rPr>
        <w:t>《信息安全技术 生成式人工智能预训练和优化训练数据安全规范》</w:t>
      </w:r>
      <w:r>
        <w:rPr>
          <w:rFonts w:ascii="Arial" w:hAnsi="Arial" w:eastAsia="等线" w:cs="Arial"/>
          <w:sz w:val="22"/>
        </w:rPr>
        <w:t>，并于2024年</w:t>
      </w:r>
      <w:r>
        <w:rPr>
          <w:rFonts w:hint="eastAsia" w:ascii="Arial" w:hAnsi="Arial" w:eastAsia="等线" w:cs="Arial"/>
          <w:sz w:val="22"/>
          <w:lang w:val="en-US" w:eastAsia="zh-CN"/>
        </w:rPr>
        <w:t>4</w:t>
      </w:r>
      <w:r>
        <w:rPr>
          <w:rFonts w:ascii="Arial" w:hAnsi="Arial" w:eastAsia="等线" w:cs="Arial"/>
          <w:sz w:val="22"/>
        </w:rPr>
        <w:t>月</w:t>
      </w:r>
      <w:r>
        <w:rPr>
          <w:rFonts w:hint="eastAsia" w:ascii="Arial" w:hAnsi="Arial" w:eastAsia="等线" w:cs="Arial"/>
          <w:sz w:val="22"/>
          <w:lang w:val="en-US" w:eastAsia="zh-CN"/>
        </w:rPr>
        <w:t>3</w:t>
      </w:r>
      <w:r>
        <w:rPr>
          <w:rFonts w:ascii="Arial" w:hAnsi="Arial" w:eastAsia="等线" w:cs="Arial"/>
          <w:sz w:val="22"/>
        </w:rPr>
        <w:t>日向社会公开征求意见。</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eastAsia="zh-CN"/>
        </w:rPr>
      </w:pPr>
      <w:r>
        <w:rPr>
          <w:rFonts w:hint="eastAsia" w:ascii="Arial" w:hAnsi="Arial" w:eastAsia="等线" w:cs="Arial"/>
          <w:sz w:val="22"/>
        </w:rPr>
        <w:t>《信息安全技术 生成式人工智能数据标注安全规范》针对生成式人工智能产品研制中的数据标注环节，对数据标注规则制定、标注实施安全、标注质量及安全性核验要求、标注人员安全管理要求、过程安全控制要求、安全证实方法等方面提出规范指引</w:t>
      </w:r>
      <w:r>
        <w:rPr>
          <w:rFonts w:hint="eastAsia" w:ascii="Arial" w:hAnsi="Arial" w:eastAsia="等线" w:cs="Arial"/>
          <w:sz w:val="22"/>
          <w:lang w:eastAsia="zh-CN"/>
        </w:rPr>
        <w:t>。</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hint="eastAsia" w:ascii="Arial" w:hAnsi="Arial" w:eastAsia="等线" w:cs="Arial"/>
          <w:sz w:val="22"/>
          <w:lang w:val="en-US" w:eastAsia="zh-CN"/>
        </w:rPr>
        <w:t>《信息安全技术 生成式人工智能预训练和优化训练数据安全规范》旨在于支撑《生成式人工智能服务管理暂行办法》第七条对预训练和优化训练等训练数据处理活动规范的落地实施，试图明确生成式人工智能服务研发者在预训练和优化训练等训练数据处理活动中的数据来源等方面的管理要求，解决生成式人工智能服务可能存在的被诱导生成侵害他人知识产权、个人信息等问题，提高生成式人工智能服务的安全性。</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全国网络安全标准化技术委员会秘书处</w:t>
      </w:r>
    </w:p>
    <w:p>
      <w:pPr>
        <w:spacing w:before="120" w:after="120" w:line="288" w:lineRule="auto"/>
        <w:ind w:left="0"/>
        <w:jc w:val="left"/>
      </w:pPr>
      <w:r>
        <w:rPr>
          <w:rFonts w:hint="eastAsia" w:ascii="Arial" w:hAnsi="Arial" w:eastAsia="等线" w:cs="Arial"/>
          <w:color w:val="3370FF"/>
          <w:sz w:val="22"/>
          <w:u w:val="single"/>
        </w:rPr>
        <w:t>https://www.tc260.org.cn/front/bzzqyjList.html?start=0&amp;length=10</w:t>
      </w:r>
    </w:p>
    <w:p>
      <w:pPr>
        <w:spacing w:before="120" w:after="120" w:line="288" w:lineRule="auto"/>
        <w:ind w:left="0"/>
        <w:jc w:val="left"/>
      </w:pPr>
    </w:p>
    <w:p>
      <w:pPr>
        <w:spacing w:before="120" w:after="120" w:line="288" w:lineRule="auto"/>
        <w:ind w:left="0"/>
        <w:jc w:val="left"/>
        <w:rPr>
          <w:rFonts w:hint="eastAsia" w:ascii="Arial" w:hAnsi="Arial" w:eastAsia="等线" w:cs="Arial"/>
          <w:b/>
          <w:color w:val="245BDB"/>
          <w:sz w:val="22"/>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w:t>
      </w:r>
      <w:r>
        <w:rPr>
          <w:rFonts w:hint="eastAsia" w:ascii="Arial" w:hAnsi="Arial" w:eastAsia="等线" w:cs="Arial"/>
          <w:b/>
          <w:color w:val="245BDB"/>
          <w:sz w:val="22"/>
        </w:rPr>
        <w:t>全国信息安全标准化技术委员会秘书处就</w:t>
      </w:r>
      <w:r>
        <w:rPr>
          <w:rFonts w:hint="eastAsia" w:ascii="Arial" w:hAnsi="Arial" w:eastAsia="等线" w:cs="Arial"/>
          <w:b/>
          <w:color w:val="245BDB"/>
          <w:sz w:val="22"/>
          <w:lang w:val="en-US" w:eastAsia="zh-CN"/>
        </w:rPr>
        <w:t>国家标准</w:t>
      </w:r>
      <w:r>
        <w:rPr>
          <w:rFonts w:hint="eastAsia" w:ascii="Arial" w:hAnsi="Arial" w:eastAsia="等线" w:cs="Arial"/>
          <w:b/>
          <w:color w:val="245BDB"/>
          <w:sz w:val="22"/>
        </w:rPr>
        <w:t>《信息安全技术 基于个人请求的个人信息转移要求》</w:t>
      </w:r>
      <w:r>
        <w:rPr>
          <w:rFonts w:hint="eastAsia" w:ascii="Arial" w:hAnsi="Arial" w:eastAsia="等线" w:cs="Arial"/>
          <w:b/>
          <w:color w:val="245BDB"/>
          <w:sz w:val="22"/>
          <w:lang w:val="en-US" w:eastAsia="zh-CN"/>
        </w:rPr>
        <w:t>《信息安全技术 数字水印技术实现指南》</w:t>
      </w:r>
      <w:r>
        <w:rPr>
          <w:rFonts w:hint="eastAsia" w:ascii="Arial" w:hAnsi="Arial" w:eastAsia="等线" w:cs="Arial"/>
          <w:b/>
          <w:color w:val="245BDB"/>
          <w:sz w:val="22"/>
        </w:rPr>
        <w:t>公开征求意见</w:t>
      </w:r>
    </w:p>
    <w:p>
      <w:pPr>
        <w:spacing w:before="120" w:after="120" w:line="288" w:lineRule="auto"/>
        <w:ind w:left="0"/>
        <w:jc w:val="left"/>
        <w:rPr>
          <w:rFonts w:hint="eastAsia" w:ascii="Arial" w:hAnsi="Arial" w:eastAsia="等线" w:cs="Arial"/>
          <w:b/>
          <w:color w:val="245BDB"/>
          <w:sz w:val="22"/>
        </w:rPr>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rPr>
      </w:pPr>
      <w:r>
        <w:rPr>
          <w:rFonts w:hint="eastAsia" w:ascii="Arial" w:hAnsi="Arial" w:eastAsia="等线" w:cs="Arial"/>
          <w:sz w:val="22"/>
        </w:rPr>
        <w:t>全国信息安全标准化技术委员会秘书处</w:t>
      </w:r>
      <w:r>
        <w:rPr>
          <w:rFonts w:hint="eastAsia" w:ascii="Arial" w:hAnsi="Arial" w:eastAsia="等线" w:cs="Arial"/>
          <w:sz w:val="22"/>
          <w:lang w:val="en-US" w:eastAsia="zh-CN"/>
        </w:rPr>
        <w:t>于 2024年04月03日发布国家标准《信息安全技术 基于个人请求的个人信息转移要求》《信息安全技术 数字水印技术实现指南》</w:t>
      </w:r>
      <w:r>
        <w:rPr>
          <w:rFonts w:hint="eastAsia" w:ascii="Arial" w:hAnsi="Arial" w:eastAsia="等线" w:cs="Arial"/>
          <w:sz w:val="22"/>
        </w:rPr>
        <w:t>，</w:t>
      </w:r>
      <w:r>
        <w:rPr>
          <w:rFonts w:ascii="Arial" w:hAnsi="Arial" w:eastAsia="等线" w:cs="Arial"/>
          <w:sz w:val="22"/>
        </w:rPr>
        <w:t>并</w:t>
      </w:r>
      <w:r>
        <w:rPr>
          <w:rFonts w:hint="eastAsia" w:ascii="Arial" w:hAnsi="Arial" w:eastAsia="等线" w:cs="Arial"/>
          <w:sz w:val="22"/>
        </w:rPr>
        <w:t>向社会公开征求意见。</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lang w:val="en-US" w:eastAsia="zh-CN"/>
        </w:rPr>
        <w:t>《信息安全技术 基于个人请求的个人信息转移要求》旨在于支撑《个人信息保护法》第四十五条对个人信息主体请求转移其个人信息的落地实施，试图明确个人信息主体请求转移其个人信息的适用和行使的条件、可请求转移的个人信息范围，以及个人信息处理者在处理个人信息主体转移个人信息的请求时应遵守的安全原则、流程和技术要求，并提升个人信息主体请求的便捷性、可互操作性问题。</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default" w:ascii="Arial" w:hAnsi="Arial" w:eastAsia="等线" w:cs="Arial"/>
          <w:sz w:val="22"/>
          <w:lang w:val="en-US" w:eastAsia="zh-CN"/>
        </w:rPr>
      </w:pPr>
      <w:r>
        <w:rPr>
          <w:rFonts w:hint="default" w:ascii="Arial" w:hAnsi="Arial" w:eastAsia="等线" w:cs="Arial"/>
          <w:sz w:val="22"/>
          <w:lang w:val="en-US" w:eastAsia="zh-CN"/>
        </w:rPr>
        <w:t>数据已成为国家新型生产要素，数据要素的确权、流通是充分发挥数据价值的基础，而流通与安全密不可分。数字水印技术即可以用于数据确权、溯源，又不影响数据的流通利用，其技术应该作为数据利用、数据保护措施来重点推广应用。《信息安全技术 数字水印技术实现指南》给出数字水印技术的框架、功能、算法、流程、接口、原则，以及在图像、视频、文件、数据库等水印载体中的实现建议</w:t>
      </w:r>
      <w:r>
        <w:rPr>
          <w:rFonts w:hint="eastAsia" w:ascii="Arial" w:hAnsi="Arial" w:eastAsia="等线" w:cs="Arial"/>
          <w:sz w:val="22"/>
          <w:lang w:val="en-US" w:eastAsia="zh-CN"/>
        </w:rPr>
        <w:t>，</w:t>
      </w:r>
      <w:r>
        <w:rPr>
          <w:rFonts w:hint="default" w:ascii="Arial" w:hAnsi="Arial" w:eastAsia="等线" w:cs="Arial"/>
          <w:sz w:val="22"/>
          <w:lang w:val="en-US" w:eastAsia="zh-CN"/>
        </w:rPr>
        <w:t>主要内容包括：提供数字水印技术的实现框架、实现功能、实现流程、水印算法选择、水印服务接口等方面的建议，并给出常见数字水印算法、典型安全场景等相关信息</w:t>
      </w:r>
      <w:r>
        <w:rPr>
          <w:rFonts w:hint="eastAsia" w:ascii="Arial" w:hAnsi="Arial" w:eastAsia="等线" w:cs="Arial"/>
          <w:sz w:val="22"/>
          <w:lang w:val="en-US" w:eastAsia="zh-CN"/>
        </w:rPr>
        <w:t>；</w:t>
      </w:r>
      <w:r>
        <w:rPr>
          <w:rFonts w:hint="default" w:ascii="Arial" w:hAnsi="Arial" w:eastAsia="等线" w:cs="Arial"/>
          <w:sz w:val="22"/>
          <w:lang w:val="en-US" w:eastAsia="zh-CN"/>
        </w:rPr>
        <w:t>针对数字内容种类多、安全应用场景多等难点和问题，进行具有系统性、区分性的技术推荐和实现方式阐述</w:t>
      </w:r>
      <w:r>
        <w:rPr>
          <w:rFonts w:hint="eastAsia" w:ascii="Arial" w:hAnsi="Arial" w:eastAsia="等线" w:cs="Arial"/>
          <w:sz w:val="22"/>
          <w:lang w:val="en-US" w:eastAsia="zh-CN"/>
        </w:rPr>
        <w:t>；</w:t>
      </w:r>
      <w:r>
        <w:rPr>
          <w:rFonts w:hint="default" w:ascii="Arial" w:hAnsi="Arial" w:eastAsia="等线" w:cs="Arial"/>
          <w:sz w:val="22"/>
          <w:lang w:val="en-US" w:eastAsia="zh-CN"/>
        </w:rPr>
        <w:t>针对数字水印本身面临的安全性问题，提供有效解决方案。</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全国网络安全标准化技术委员会秘书处</w:t>
      </w:r>
    </w:p>
    <w:p>
      <w:pPr>
        <w:spacing w:before="120" w:after="120" w:line="288" w:lineRule="auto"/>
        <w:ind w:left="0"/>
        <w:jc w:val="left"/>
      </w:pPr>
      <w:r>
        <w:rPr>
          <w:rFonts w:hint="eastAsia" w:ascii="Arial" w:hAnsi="Arial" w:eastAsia="等线" w:cs="Arial"/>
          <w:color w:val="3370FF"/>
          <w:sz w:val="22"/>
          <w:u w:val="single"/>
        </w:rPr>
        <w:t>https://www.tc260.org.cn/front/bzzqyjList.html?start=0&amp;length=10</w:t>
      </w:r>
    </w:p>
    <w:p>
      <w:pPr>
        <w:spacing w:before="120" w:after="120" w:line="288" w:lineRule="auto"/>
        <w:ind w:left="0"/>
        <w:jc w:val="left"/>
      </w:pPr>
    </w:p>
    <w:p>
      <w:pPr>
        <w:spacing w:before="120" w:after="120" w:line="288" w:lineRule="auto"/>
        <w:ind w:left="0"/>
        <w:jc w:val="left"/>
        <w:rPr>
          <w:rFonts w:hint="eastAsia" w:eastAsia="等线"/>
          <w:lang w:eastAsia="zh-CN"/>
        </w:rPr>
      </w:pPr>
      <w:r>
        <w:rPr>
          <w:rFonts w:ascii="Arial" w:hAnsi="Arial" w:eastAsia="等线" w:cs="Arial"/>
          <w:b/>
          <w:color w:val="245BDB"/>
          <w:sz w:val="22"/>
        </w:rPr>
        <w:t>[数据网络]</w:t>
      </w:r>
      <w:r>
        <w:rPr>
          <w:rFonts w:hint="eastAsia" w:ascii="Arial" w:hAnsi="Arial" w:eastAsia="等线" w:cs="Arial"/>
          <w:b/>
          <w:color w:val="245BDB"/>
          <w:sz w:val="22"/>
        </w:rPr>
        <w:t>杭州市数据资源管理局</w:t>
      </w:r>
      <w:r>
        <w:rPr>
          <w:rFonts w:hint="eastAsia" w:ascii="Arial" w:hAnsi="Arial" w:eastAsia="等线" w:cs="Arial"/>
          <w:b/>
          <w:color w:val="245BDB"/>
          <w:sz w:val="22"/>
          <w:lang w:val="en-US" w:eastAsia="zh-CN"/>
        </w:rPr>
        <w:t>发布《</w:t>
      </w:r>
      <w:r>
        <w:rPr>
          <w:rFonts w:hint="eastAsia" w:ascii="Arial" w:hAnsi="Arial" w:eastAsia="等线" w:cs="Arial"/>
          <w:b/>
          <w:color w:val="245BDB"/>
          <w:sz w:val="22"/>
        </w:rPr>
        <w:t>杭州市数据流通交易促进条例（草案）</w:t>
      </w:r>
      <w:r>
        <w:rPr>
          <w:rFonts w:hint="eastAsia" w:ascii="Arial" w:hAnsi="Arial" w:eastAsia="等线" w:cs="Arial"/>
          <w:b/>
          <w:color w:val="245BDB"/>
          <w:sz w:val="22"/>
          <w:lang w:eastAsia="zh-CN"/>
        </w:rPr>
        <w:t>》</w:t>
      </w:r>
    </w:p>
    <w:p>
      <w:pPr>
        <w:spacing w:before="120" w:after="120" w:line="288" w:lineRule="auto"/>
        <w:ind w:left="0"/>
        <w:jc w:val="left"/>
      </w:pPr>
    </w:p>
    <w:p>
      <w:pPr>
        <w:spacing w:before="120" w:after="120" w:line="288" w:lineRule="auto"/>
        <w:ind w:left="0" w:firstLine="440" w:firstLineChars="200"/>
        <w:jc w:val="left"/>
        <w:rPr>
          <w:rFonts w:hint="default" w:ascii="Arial" w:hAnsi="Arial" w:eastAsia="等线" w:cs="Arial"/>
          <w:sz w:val="22"/>
          <w:lang w:val="en-US" w:eastAsia="zh-CN"/>
        </w:rPr>
      </w:pPr>
      <w:r>
        <w:rPr>
          <w:rFonts w:hint="eastAsia" w:ascii="Arial" w:hAnsi="Arial" w:eastAsia="等线" w:cs="Arial"/>
          <w:sz w:val="22"/>
        </w:rPr>
        <w:t>为促进数据要素市场化配置改革，加快建立数据流通交易制度体系，优化数据流通交易市场环境，促进数据产业高质量发展，杭州市将《杭州市数据流通交易促进条例》列入2024年立法计划</w:t>
      </w:r>
      <w:r>
        <w:rPr>
          <w:rFonts w:hint="eastAsia" w:ascii="Arial" w:hAnsi="Arial" w:eastAsia="等线" w:cs="Arial"/>
          <w:sz w:val="22"/>
          <w:lang w:eastAsia="zh-CN"/>
        </w:rPr>
        <w:t>，</w:t>
      </w:r>
      <w:r>
        <w:rPr>
          <w:rFonts w:hint="eastAsia" w:ascii="Arial" w:hAnsi="Arial" w:eastAsia="等线" w:cs="Arial"/>
          <w:sz w:val="22"/>
          <w:lang w:val="en-US" w:eastAsia="zh-CN"/>
        </w:rPr>
        <w:t>并于2024年4月22日发布《杭州市数据流通交易促进条例（草案）》，向社会公开征求意见</w:t>
      </w:r>
      <w:r>
        <w:rPr>
          <w:rFonts w:hint="eastAsia" w:ascii="Arial" w:hAnsi="Arial" w:eastAsia="等线" w:cs="Arial"/>
          <w:sz w:val="22"/>
        </w:rPr>
        <w:t>。</w:t>
      </w:r>
      <w:r>
        <w:rPr>
          <w:rFonts w:hint="eastAsia" w:ascii="Arial" w:hAnsi="Arial" w:eastAsia="等线" w:cs="Arial"/>
          <w:sz w:val="22"/>
          <w:lang w:val="en-US" w:eastAsia="zh-CN"/>
        </w:rPr>
        <w:t>该《促进条例（草案）》在</w:t>
      </w:r>
      <w:r>
        <w:rPr>
          <w:rFonts w:hint="eastAsia" w:ascii="Arial" w:hAnsi="Arial" w:eastAsia="等线" w:cs="Arial"/>
          <w:sz w:val="22"/>
        </w:rPr>
        <w:t>数据权益与主体、数据流通交易服务、数据授权运营、数据定价及分配、数据生态培育、数据产业引导等方面</w:t>
      </w:r>
      <w:r>
        <w:rPr>
          <w:rFonts w:hint="eastAsia" w:ascii="Arial" w:hAnsi="Arial" w:eastAsia="等线" w:cs="Arial"/>
          <w:sz w:val="22"/>
          <w:lang w:val="en-US" w:eastAsia="zh-CN"/>
        </w:rPr>
        <w:t>作出了</w:t>
      </w:r>
      <w:r>
        <w:rPr>
          <w:rFonts w:hint="eastAsia" w:ascii="Arial" w:hAnsi="Arial" w:eastAsia="等线" w:cs="Arial"/>
          <w:sz w:val="22"/>
        </w:rPr>
        <w:t>的具体规定</w:t>
      </w:r>
      <w:r>
        <w:rPr>
          <w:rFonts w:hint="eastAsia" w:ascii="Arial" w:hAnsi="Arial" w:eastAsia="等线" w:cs="Arial"/>
          <w:sz w:val="22"/>
          <w:lang w:eastAsia="zh-CN"/>
        </w:rPr>
        <w:t>，</w:t>
      </w:r>
      <w:r>
        <w:rPr>
          <w:rFonts w:hint="eastAsia" w:ascii="Arial" w:hAnsi="Arial" w:eastAsia="等线" w:cs="Arial"/>
          <w:sz w:val="22"/>
          <w:lang w:val="en-US" w:eastAsia="zh-CN"/>
        </w:rPr>
        <w:t>提出促进数据流通交易应当坚持市场主导、高效供给、包容审慎、安全发展的原则。</w:t>
      </w:r>
    </w:p>
    <w:p>
      <w:pPr>
        <w:spacing w:before="120" w:after="120" w:line="288" w:lineRule="auto"/>
        <w:ind w:left="0" w:firstLine="440" w:firstLineChars="200"/>
        <w:jc w:val="left"/>
        <w:rPr>
          <w:rFonts w:hint="eastAsia" w:ascii="Arial" w:hAnsi="Arial" w:eastAsia="等线" w:cs="Arial"/>
          <w:sz w:val="22"/>
        </w:rPr>
      </w:pP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中共杭州市委、杭州市人民政府</w:t>
      </w:r>
    </w:p>
    <w:p>
      <w:pPr>
        <w:spacing w:before="120" w:after="120" w:line="288" w:lineRule="auto"/>
        <w:ind w:left="0"/>
        <w:jc w:val="left"/>
      </w:pPr>
      <w:r>
        <w:rPr>
          <w:rFonts w:hint="eastAsia" w:ascii="Arial" w:hAnsi="Arial" w:eastAsia="等线" w:cs="Arial"/>
          <w:color w:val="3370FF"/>
          <w:sz w:val="22"/>
          <w:u w:val="single"/>
        </w:rPr>
        <w:t>https://minyi.zjzwfw.gov.cn/dczjnewls/dczj/idea/topic_14490.html</w:t>
      </w: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ascii="Arial" w:hAnsi="Arial" w:eastAsia="等线" w:cs="Arial"/>
          <w:b/>
          <w:sz w:val="22"/>
        </w:rPr>
        <w:t>【审判观点】</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rPr>
        <w:t>全国首例“AI声音侵权案”一审宣判</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rPr>
      </w:pPr>
      <w:r>
        <w:rPr>
          <w:rFonts w:hint="eastAsia" w:ascii="Arial" w:hAnsi="Arial" w:eastAsia="等线" w:cs="Arial"/>
          <w:sz w:val="22"/>
        </w:rPr>
        <w:t>4月23日上午，北京互联网法院对全国首例“AI声音侵权案”进行一审宣判，认定作为配音师的原告，其声音权益及于案涉AI声音，被告方使用原告声音、开发案涉AI文本转语音产品未获得合法授权，构成侵权，书面赔礼道歉，并赔偿原告各项损失25万元。</w:t>
      </w:r>
      <w:r>
        <w:rPr>
          <w:rFonts w:hint="eastAsia" w:ascii="Arial" w:hAnsi="Arial" w:eastAsia="等线" w:cs="Arial"/>
          <w:sz w:val="22"/>
          <w:lang w:val="en-US" w:eastAsia="zh-CN"/>
        </w:rPr>
        <w:t>法</w:t>
      </w:r>
      <w:r>
        <w:rPr>
          <w:rFonts w:hint="eastAsia" w:ascii="Arial" w:hAnsi="Arial" w:eastAsia="等线" w:cs="Arial"/>
          <w:sz w:val="22"/>
        </w:rPr>
        <w:t>官指出，声音作为一种人格权益，具有人身专属性，任何自然人的声音均应受到法律的保护，未经许可，擅自使用、许可他人使用录音制品中的声音，构成侵权。</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hint="eastAsia" w:ascii="Arial" w:hAnsi="Arial" w:eastAsia="等线" w:cs="Arial"/>
          <w:sz w:val="22"/>
        </w:rPr>
        <w:t>其实，随意克隆、AI化人类的声音，并运用在商业当中的现象并非个例。在许多AI软件上，都有模仿知名主持人、知名艺人声音的情况。AI技术越来越成熟，AI软件也越来越多。可以说AI是一个崭新的蓝海、宽阔的蓝海。人工智能技术正以前所未有的速度渗透到我们生活的方方面面。然而，随之而来的法律和伦理问题也日益凸显。AI应该是“创造师”而不应该是“搬运工”“模仿者”“抄袭者”。在AI技术的辅助下，我们可以更加高效地完成工作，创造出前所未有的价值。但是，这一切必须在尊重和保护原创作者合法权益的基础上进行。作为智能软件的开发者和使用者，应当意识到，每一项技术的进步都不应该脱离道德和法律的约束。AI声音侵权案宣判不仅是对一起具体案件的裁决，更是对整个智能软件行业的一次警醒。</w:t>
      </w:r>
    </w:p>
    <w:p>
      <w:pPr>
        <w:spacing w:before="120" w:after="120" w:line="288" w:lineRule="auto"/>
        <w:ind w:left="0"/>
        <w:jc w:val="left"/>
      </w:pP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ascii="Arial" w:hAnsi="Arial" w:eastAsia="等线" w:cs="Arial"/>
          <w:sz w:val="22"/>
        </w:rPr>
        <w:t>人民法院报</w:t>
      </w:r>
      <w:r>
        <w:rPr>
          <w:rFonts w:hint="eastAsia" w:ascii="Arial" w:hAnsi="Arial" w:eastAsia="等线" w:cs="Arial"/>
          <w:sz w:val="22"/>
          <w:lang w:val="en-US" w:eastAsia="zh-CN"/>
        </w:rPr>
        <w:t xml:space="preserve"> 中国法院网</w:t>
      </w:r>
    </w:p>
    <w:p>
      <w:pPr>
        <w:spacing w:before="120" w:after="120" w:line="288" w:lineRule="auto"/>
        <w:ind w:left="0"/>
        <w:jc w:val="left"/>
      </w:pPr>
      <w:r>
        <w:rPr>
          <w:rFonts w:hint="eastAsia" w:ascii="Arial" w:hAnsi="Arial" w:eastAsia="等线" w:cs="Arial"/>
          <w:color w:val="3370FF"/>
          <w:sz w:val="22"/>
          <w:u w:val="single"/>
        </w:rPr>
        <w:t>https://www.chinacourt.org/article/detail/2024/04/id/7912814.shtml</w:t>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【实务指引】</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 xml:space="preserve">[数据网络] </w:t>
      </w:r>
      <w:r>
        <w:rPr>
          <w:rFonts w:hint="eastAsia" w:ascii="Arial" w:hAnsi="Arial" w:eastAsia="等线" w:cs="Arial"/>
          <w:b/>
          <w:color w:val="245BDB"/>
          <w:sz w:val="22"/>
        </w:rPr>
        <w:t>《企业数据资源会计处理》中“合法拥有或控制”的法律理解</w:t>
      </w:r>
    </w:p>
    <w:p>
      <w:pPr>
        <w:spacing w:before="120" w:after="120" w:line="288" w:lineRule="auto"/>
        <w:ind w:left="0"/>
        <w:jc w:val="left"/>
      </w:pPr>
      <w:r>
        <w:rPr>
          <w:rFonts w:ascii="Arial" w:hAnsi="Arial" w:eastAsia="等线" w:cs="Arial"/>
          <w:sz w:val="22"/>
        </w:rPr>
        <w:t xml:space="preserve">    </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随着数字经济的发展，企业数据处理活动成为现代企业经营活动的常态，数据资源的持有也成为企业价值的重要体现。为了准确反映数据相关业务和经济实质，推动数据要素价值的发挥，财政部于2023年8月1日发布了《企业数据资源相关会计处理暂行规定》（简称《暂行规定》），该规定自2024年1月1日起施行。</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在《暂行规定》适用于企业按照企业会计准则相关规定确认为无形资产或存货等资产类别的数据资源，以及企业合法拥有或控制的、预期会给企业带来经济利益的、但由于不满足企业会计准则相关资产确认条件而未确认为资产的数据资源的相关会计处理。</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但是由于数据资源不同于传统的有形资产或无形资产，在实际执行中，对于“企业合法拥有或控制”的理解仍存在一定的难点。</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1、“拥有”或“控制”的界定</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按照会计准则及《暂行办法》，对于数据资源的拥有或控制，是进行会计处理的前提条件，但是如何认定企业“拥有”或“控制”数据资源，则是操作过程中的一个难点。</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（1）对拥有的认定</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如上所述，“拥有”不是一个严格意义上的法律概念，与所有权不同，拥有本身也不是一种权利，而是一种状态，表明了对某种权利或者某种财产的占有和控制状态。</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我国与财产有关的法律中，仅在《民法典》表述技术转让的过程中，用到了“拥有”一词。《民法典》第八百六十二条规定，技术转让合同是合法“拥有”技术的权利人，将现有特定的专利、专利申请、技术秘密的相关权利让与他人所订立的合同。技术许可合同是合法“拥有”技术的权利人，将现有特定的专利、技术秘密的相关权利许可他人实施、使用所订立的合同。从这一规定可以看出，此处“拥有”的客体是“专利”、“专利申请”、“技术秘密”的相关权利。需要注意的是，《民法典》第八百六十二条仅针对技术转让和技术许可合同，且客体为专利、专利申请、技术秘密的相关权利，拥有可以理解为拥有上述几类知识产权的权利。</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如果将“拥有”一词广义理解为权利人对于某种权利的持有状态，则其客体应为法律规定的权利。比如，对房屋拥有所有权，或者对专利拥有专利权。但是，从《暂行办法》的规定看，虽然有“拥有”数据的表述，但法律上并不能找到对应的规定。如果法律并未对某种客体进行权利界定，则“拥有”的表述对于该类客体将难于适用。比如，对于个人信息而言，法律并未将其界定为权利，此时对于个人信息主体和个人信息处理者，如何界定“拥有”的主体，就会成为一个难题。需要进行数据资源会计处理的主体是企业，企业作为个人信息处理者，在其业务场景中收集了大量的个人信息，如果将企业作为个人信息的拥有者，将会与个人信息作为人格权的排他性产生冲突。再如，通过公开方式获取的数据，如通过爬虫等自动化程序从互联网获取的数据，由于数据本身的公开性，数据的发布者对于数据也拥有某种权益，此时，将数据的收集者界定为拥有者，也存在与发布者权利的冲突问题。</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因此，笔者认为，在数据领域认定“拥有”，应从特定数据是否具有排他性来看待。以企业数据为例，企业公开的数据，由于发布方和收集方没有排他性，因此，均不宜于认定为“拥有”。但是，对于企业生产环节中，自行产生的数据，比如经营数据、设备运行数据等，如果采取的保密措施，则可以比照商业秘密而产生排他性，即可认定“拥有”。对于个人信息，企业虽然合法收集，但个人信息可以被个人授权诸多企业使用，不具有排他性，因而不宜认定企业“拥有”个人信息。但是如果该等个人信息加工分析后，形成了某些统计性质的数据，则可以认定为企业“拥有”数据。</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（2）关于“控制”的认定</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控制”与“拥有”相比，并没有排他性的要求，而是更加突出实际“占有”或“存储”的状态，并且应具有支配数据的能力或资格。从这个意义上看，“拥有”必然会“控制”，但“控制”则并不一定会“拥有”。比如，推荐性国家标准《信息安全技术  个人信息安全规范》中，界定了“个人信息控制者”，即有能力决定个人信息处理目的、方式等的组织和个人。这一界定，与《个人信息保护法》第七十三条规定的“个人信息处理者”基本类似，该条款规定，个人信息处理者，是指在个人信息处理活动中自主决定处理目的、处理方式的组织、个人。也就是说，“控制”的含义类似于“处理”，也有支配的含义。上述法律及国家标准可以看出，“控制”并不关注“排他”，而是关注实际的支配。数据处理者拥有的数据可能是自行采集、也可能是个人授权、或者是第三方提供，依据法律或者协议约定，该企业能够自主决定数据的使用方式、使用目的，就可以初步认定为企业对数据实施了“控制”。当然，这一“控制”是受到诸多法律限制的。比如，对于个人信息而言，用户的授权仅限于提供服务期间，则此项控制的期间只能基于该期限认定。如果个人信息的使用方式、目的有明确限制，则控制范围也仅限于该特定方式、范围内。由于“控制”的认定较为复杂，文章篇幅有限，仅能做部分示例，具体还应结合数据的产生方式、获取方式、数据的使用目的即方式限制、数据存储期限等诸多因素加以综合认定。</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（3）“持有”不代表拥有或控制数据</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在数据处理中，实际持有数据，并不代表“拥有”或“控制”数据，比如在数据的受托处理环境下，受托方虽然持有数据，但并不能认定为“控制”。</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2、合法性界定</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合法性的认定，是一个更为复杂的问题。从前述分析不难看出，拥有或控制环节，基本上贯穿了数据的生命周期。合法拥有或控制数据，意味着企业应确保数据生命周期的合法、合规。具体包括数据收集合法、存储合法、使用合法、加工合法、传输合法、提供合法、公开合法，合法性包含了一整套复杂的认定规则。</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我们仅以个人信息获取的合法性为例予以说明，收集是处理个人信息的首要环节，也是个人信息数据的合法性基础。收集个人信息，是个人信息处理者与用户形成交互的首个环节，个人信息处理的知情同意往往在收集环节完成，对于后续如何保存、利用、对外提供、加工、公开个人信息，均需要在收集环节取得个人的同意。</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个人信息保护法》规定处理个人信息应当具有明确、合理的目的，并应当与处理目的直接相关，采取对个人权益影响最小的方式。收集个人信息，应当限于实现处理目的的最小范围，不得过度收集个人信息。以及处理个人信息应当遵循公开、透明原则，公开个人信息处理规则，明示处理的目的、方式和范围。仅是其中的最小必要原则，又会涉及到一系列复杂的规范，如关于APP收集个人信息的规则等。此外，对于用户的知情同意，《网络安全法》《民法典》及《个人信息保护法》《消费者权益保护法》规定了详细的规则。个人信息处理者应将个人信息的处理目的、处理方式，处理的个人信息种类、保存期限及其他法律规定的事项告知个人，并取得个人的同意。此外，对于特定事项，还应当取得个人的单独同意。对于不满14周岁的未成年人，其个人信息属于敏感个人信息，应当制定专门的规则。</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除了个人信息外，测绘及地理信息数据、健康医疗数据、人类遗传资源信息数据，以及其他部分领域的数据，在收集环节，也有各自的法律限制。加上存储、使用、加工、传输、提供、公开以及个人信息删除环节的法律规则，合法性的判断需要面对复杂的法律规则体系，也是数据资源进行会计处理过程中的至关重要的环节。</w:t>
      </w:r>
    </w:p>
    <w:p>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综上，尽管会计准则和《暂行办法》对于数据资源的合法拥有和控制进行了规定，但对于如何理解“合法拥有或控制”，则需要根据有关法律法规及监管规则、国家标准进行深入的研判。这不仅是数据资源确权的基础，也是进行数据资源入表的基本前提。</w:t>
      </w:r>
    </w:p>
    <w:p>
      <w:pPr>
        <w:spacing w:before="120" w:after="120" w:line="288" w:lineRule="auto"/>
        <w:ind w:left="0" w:firstLine="440" w:firstLineChars="200"/>
        <w:jc w:val="left"/>
        <w:rPr>
          <w:rFonts w:hint="eastAsia" w:ascii="Arial" w:hAnsi="Arial" w:eastAsia="等线" w:cs="Arial"/>
          <w:sz w:val="22"/>
        </w:rPr>
      </w:pPr>
    </w:p>
    <w:p>
      <w:pPr>
        <w:spacing w:before="120" w:after="120" w:line="288" w:lineRule="auto"/>
        <w:ind w:left="0"/>
        <w:jc w:val="left"/>
        <w:rPr>
          <w:rFonts w:hint="eastAsia" w:eastAsia="等线"/>
          <w:lang w:val="en-US" w:eastAsia="zh-CN"/>
        </w:rPr>
      </w:pPr>
      <w:r>
        <w:rPr>
          <w:rFonts w:ascii="Arial" w:hAnsi="Arial" w:eastAsia="等线" w:cs="Arial"/>
          <w:b/>
          <w:sz w:val="22"/>
        </w:rPr>
        <w:t>提供人：</w:t>
      </w:r>
      <w:r>
        <w:rPr>
          <w:rFonts w:hint="eastAsia" w:ascii="Arial" w:hAnsi="Arial" w:eastAsia="等线" w:cs="Arial"/>
          <w:sz w:val="22"/>
        </w:rPr>
        <w:t>吴卫明</w:t>
      </w:r>
      <w:r>
        <w:rPr>
          <w:rFonts w:hint="eastAsia" w:ascii="Arial" w:hAnsi="Arial" w:eastAsia="等线" w:cs="Arial"/>
          <w:sz w:val="22"/>
          <w:lang w:val="en-US" w:eastAsia="zh-CN"/>
        </w:rPr>
        <w:t>/锦天城律师事务所</w:t>
      </w: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sz w:val="22"/>
        </w:rPr>
        <w:t>锦天城律师事务所</w:t>
      </w:r>
      <w:r>
        <w:rPr>
          <w:rFonts w:hint="eastAsia" w:ascii="Arial" w:hAnsi="Arial" w:eastAsia="等线" w:cs="Arial"/>
          <w:sz w:val="22"/>
          <w:lang w:val="en-US" w:eastAsia="zh-CN"/>
        </w:rPr>
        <w:t>微信公众号</w:t>
      </w:r>
    </w:p>
    <w:p>
      <w:pPr>
        <w:spacing w:before="120" w:after="120" w:line="288" w:lineRule="auto"/>
        <w:ind w:left="0"/>
        <w:jc w:val="left"/>
      </w:pPr>
      <w:r>
        <w:rPr>
          <w:rFonts w:hint="eastAsia" w:ascii="Arial" w:hAnsi="Arial" w:eastAsia="等线" w:cs="Arial"/>
          <w:color w:val="3370FF"/>
          <w:sz w:val="22"/>
          <w:u w:val="single"/>
        </w:rPr>
        <w:t>https://mp.weixin.qq.com/s/PDZnLxWN22kAFRtvvl9EXQ</w:t>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【法律产品】</w:t>
      </w:r>
    </w:p>
    <w:p>
      <w:pPr>
        <w:spacing w:before="120" w:after="120" w:line="288" w:lineRule="auto"/>
        <w:ind w:left="0"/>
        <w:jc w:val="left"/>
      </w:pPr>
    </w:p>
    <w:p>
      <w:pPr>
        <w:spacing w:before="120" w:after="120" w:line="288" w:lineRule="auto"/>
        <w:ind w:left="0"/>
        <w:jc w:val="left"/>
        <w:rPr>
          <w:rFonts w:hint="eastAsia" w:eastAsia="等线"/>
          <w:lang w:eastAsia="zh-CN"/>
        </w:rPr>
      </w:pPr>
      <w:r>
        <w:rPr>
          <w:rFonts w:ascii="Arial" w:hAnsi="Arial" w:eastAsia="等线" w:cs="Arial"/>
          <w:b/>
          <w:color w:val="245BDB"/>
          <w:sz w:val="22"/>
        </w:rPr>
        <w:t xml:space="preserve">[数据网络] </w:t>
      </w:r>
      <w:r>
        <w:rPr>
          <w:rFonts w:hint="eastAsia" w:ascii="Arial" w:hAnsi="Arial" w:eastAsia="等线" w:cs="Arial"/>
          <w:b/>
          <w:color w:val="245BDB"/>
          <w:sz w:val="22"/>
          <w:lang w:eastAsia="zh-CN"/>
        </w:rPr>
        <w:t>《</w:t>
      </w:r>
      <w:r>
        <w:rPr>
          <w:rFonts w:hint="eastAsia" w:ascii="Arial" w:hAnsi="Arial" w:eastAsia="等线" w:cs="Arial"/>
          <w:b/>
          <w:color w:val="245BDB"/>
          <w:sz w:val="22"/>
        </w:rPr>
        <w:t>欧盟GDPR数据合规法律服务产品</w:t>
      </w:r>
      <w:r>
        <w:rPr>
          <w:rFonts w:hint="eastAsia" w:ascii="Arial" w:hAnsi="Arial" w:eastAsia="等线" w:cs="Arial"/>
          <w:b/>
          <w:color w:val="245BDB"/>
          <w:sz w:val="22"/>
          <w:lang w:eastAsia="zh-CN"/>
        </w:rPr>
        <w:t>》</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default"/>
          <w:lang w:val="en-US"/>
        </w:rPr>
      </w:pPr>
      <w:r>
        <w:rPr>
          <w:rFonts w:hint="eastAsia" w:ascii="Arial" w:hAnsi="Arial" w:eastAsia="等线" w:cs="Arial"/>
          <w:sz w:val="22"/>
        </w:rPr>
        <w:t>欧盟《通用数据保护条例》（简称“GDPR”）对中国企业的影响逐步扩大，一是其扩张型的域外适用效力，因中国与欧盟的贸易关系十分密切、关联因素甚广，很多中国企业会列入GDPR的适用范围之内；二是其规定的苛刻的法律责任，企业可能会因合规管理不到位而面对巨额处罚的风险。因此，企业需要更加了解GPRD的合规要求，加紧建设符合GDPR合规要求的数据合规管理系统。据此，</w:t>
      </w:r>
      <w:r>
        <w:rPr>
          <w:rFonts w:hint="eastAsia" w:ascii="Arial" w:hAnsi="Arial" w:eastAsia="等线" w:cs="Arial"/>
          <w:sz w:val="22"/>
          <w:lang w:val="en-US" w:eastAsia="zh-CN"/>
        </w:rPr>
        <w:t>广信君达律师事务所推出《</w:t>
      </w:r>
      <w:r>
        <w:rPr>
          <w:rFonts w:hint="eastAsia" w:ascii="Arial" w:hAnsi="Arial" w:eastAsia="等线" w:cs="Arial"/>
          <w:sz w:val="22"/>
        </w:rPr>
        <w:t>欧盟GDPR数据合规法律服务产品</w:t>
      </w:r>
      <w:r>
        <w:rPr>
          <w:rFonts w:hint="eastAsia" w:ascii="Arial" w:hAnsi="Arial" w:eastAsia="等线" w:cs="Arial"/>
          <w:sz w:val="22"/>
          <w:lang w:eastAsia="zh-CN"/>
        </w:rPr>
        <w:t>》</w:t>
      </w:r>
      <w:r>
        <w:rPr>
          <w:rFonts w:ascii="Arial" w:hAnsi="Arial" w:eastAsia="等线" w:cs="Arial"/>
          <w:sz w:val="22"/>
        </w:rPr>
        <w:t>。</w:t>
      </w:r>
      <w:r>
        <w:rPr>
          <w:rFonts w:hint="eastAsia" w:ascii="Arial" w:hAnsi="Arial" w:eastAsia="等线" w:cs="Arial"/>
          <w:sz w:val="22"/>
          <w:lang w:val="en-US" w:eastAsia="zh-CN"/>
        </w:rPr>
        <w:t>该产品包含以下法律服务：分析企业是否适用GDPR、企业数据风险分析和评估、合规整改方案、数据跨境传输的配套文件和欧盟GDPR数据合规培训。</w:t>
      </w:r>
    </w:p>
    <w:p>
      <w:pPr>
        <w:spacing w:before="120" w:after="120" w:line="288" w:lineRule="auto"/>
        <w:ind w:left="0"/>
        <w:jc w:val="left"/>
      </w:pP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sz w:val="22"/>
        </w:rPr>
        <w:t>广信君达律师事务所</w:t>
      </w:r>
      <w:r>
        <w:rPr>
          <w:rFonts w:ascii="Arial" w:hAnsi="Arial" w:eastAsia="等线" w:cs="Arial"/>
          <w:sz w:val="22"/>
        </w:rPr>
        <w:t>微信公众号</w:t>
      </w:r>
      <w:r>
        <w:rPr>
          <w:rFonts w:hint="eastAsia" w:ascii="Arial" w:hAnsi="Arial" w:eastAsia="等线" w:cs="Arial"/>
          <w:sz w:val="22"/>
          <w:lang w:val="en-US" w:eastAsia="zh-CN"/>
        </w:rPr>
        <w:t xml:space="preserve"> 闪涛律师团队</w:t>
      </w:r>
    </w:p>
    <w:p>
      <w:pPr>
        <w:spacing w:before="120" w:after="120" w:line="288" w:lineRule="auto"/>
        <w:ind w:left="0"/>
        <w:jc w:val="left"/>
      </w:pPr>
      <w:r>
        <w:rPr>
          <w:rFonts w:hint="eastAsia" w:ascii="Arial" w:hAnsi="Arial" w:eastAsia="等线" w:cs="Arial"/>
          <w:color w:val="3370FF"/>
          <w:sz w:val="22"/>
          <w:u w:val="single"/>
        </w:rPr>
        <w:t>https://mp.weixin.qq.com/s/jpCt2rbVrpV6y-maFrDFmQ</w:t>
      </w:r>
    </w:p>
    <w:p>
      <w:pPr>
        <w:spacing w:before="120" w:after="120" w:line="288" w:lineRule="auto"/>
        <w:ind w:left="0"/>
        <w:jc w:val="left"/>
      </w:pPr>
    </w:p>
    <w:p>
      <w:pPr>
        <w:spacing w:before="120" w:after="120" w:line="288" w:lineRule="auto"/>
        <w:ind w:left="0"/>
        <w:jc w:val="center"/>
      </w:pPr>
      <w:r>
        <w:rPr>
          <w:rFonts w:ascii="Arial" w:hAnsi="Arial" w:eastAsia="等线" w:cs="Arial"/>
          <w:b/>
          <w:sz w:val="22"/>
        </w:rPr>
        <w:t>【动态信息】</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rPr>
          <w:rFonts w:hint="eastAsia" w:ascii="Arial" w:hAnsi="Arial" w:eastAsia="等线" w:cs="Arial"/>
          <w:b/>
          <w:color w:val="245BDB"/>
          <w:sz w:val="22"/>
        </w:rPr>
      </w:pPr>
      <w:r>
        <w:rPr>
          <w:rFonts w:ascii="Arial" w:hAnsi="Arial" w:eastAsia="等线" w:cs="Arial"/>
          <w:b/>
          <w:color w:val="245BDB"/>
          <w:sz w:val="22"/>
        </w:rPr>
        <w:t>[</w:t>
      </w:r>
      <w:r>
        <w:rPr>
          <w:rFonts w:hint="eastAsia" w:ascii="Arial" w:hAnsi="Arial" w:eastAsia="等线" w:cs="Arial"/>
          <w:b/>
          <w:color w:val="245BDB"/>
          <w:sz w:val="22"/>
        </w:rPr>
        <w:t>数据网络</w:t>
      </w:r>
      <w:r>
        <w:rPr>
          <w:rFonts w:ascii="Arial" w:hAnsi="Arial" w:eastAsia="等线" w:cs="Arial"/>
          <w:b/>
          <w:color w:val="245BDB"/>
          <w:sz w:val="22"/>
        </w:rPr>
        <w:t xml:space="preserve">] </w:t>
      </w:r>
      <w:r>
        <w:rPr>
          <w:rFonts w:hint="eastAsia" w:ascii="Arial" w:hAnsi="Arial" w:eastAsia="等线" w:cs="Arial"/>
          <w:b/>
          <w:color w:val="245BDB"/>
          <w:sz w:val="22"/>
        </w:rPr>
        <w:t>国家发展改革委办公厅、国家数据局综合司印发《数字经济2024年工作要点》</w:t>
      </w:r>
    </w:p>
    <w:p>
      <w:pPr>
        <w:spacing w:before="120" w:after="120" w:line="288" w:lineRule="auto"/>
        <w:ind w:left="0"/>
        <w:jc w:val="left"/>
        <w:rPr>
          <w:rFonts w:hint="eastAsia" w:ascii="Arial" w:hAnsi="Arial" w:eastAsia="等线" w:cs="Arial"/>
          <w:b/>
          <w:color w:val="245BDB"/>
          <w:sz w:val="22"/>
        </w:rPr>
      </w:pPr>
    </w:p>
    <w:p>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rPr>
        <w:t>近日，国家发展改革委办公厅、国家数据局综合司印发《数字经济2024年工作要点》，对2024年数字经济重点工作作出部署。《工作要点》提出9方面落实举措</w:t>
      </w:r>
      <w:r>
        <w:rPr>
          <w:rFonts w:hint="eastAsia" w:ascii="Arial" w:hAnsi="Arial" w:eastAsia="等线" w:cs="Arial"/>
          <w:sz w:val="22"/>
          <w:lang w:val="en-US" w:eastAsia="zh-CN"/>
        </w:rPr>
        <w:t>,主要包括适度超前布局数字基础设施、加快构建数据基础制度、深入推进产业数字化转型、加快推动数字技术创新突破、不断提升公共服务水平、推动完善数字经济治理体系、全面筑牢数字安全屏障、主动拓展数字经济国际合作、加强跨部门协同联动等内容。</w:t>
      </w:r>
    </w:p>
    <w:p>
      <w:pPr>
        <w:spacing w:before="120" w:after="120" w:line="288" w:lineRule="auto"/>
        <w:ind w:left="0" w:firstLine="440" w:firstLineChars="200"/>
        <w:jc w:val="left"/>
        <w:rPr>
          <w:rFonts w:hint="eastAsia" w:ascii="Arial" w:hAnsi="Arial" w:eastAsia="等线" w:cs="Arial"/>
          <w:sz w:val="22"/>
          <w:lang w:val="en-US" w:eastAsia="zh-CN"/>
        </w:rPr>
      </w:pP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福州市大数据发展管理委员会</w:t>
      </w:r>
      <w:r>
        <w:rPr>
          <w:rFonts w:hint="eastAsia" w:ascii="Arial" w:hAnsi="Arial" w:eastAsia="等线" w:cs="Arial"/>
          <w:color w:val="3370FF"/>
          <w:sz w:val="22"/>
          <w:u w:val="single"/>
        </w:rPr>
        <w:t>https://dsjw.fuzhou.gov.cn/zwgk/gzdt/202404/t20240430_4817207.htm</w:t>
      </w:r>
    </w:p>
    <w:p>
      <w:pPr>
        <w:spacing w:before="120" w:after="120" w:line="288" w:lineRule="auto"/>
        <w:ind w:left="0"/>
        <w:jc w:val="left"/>
      </w:pPr>
    </w:p>
    <w:p>
      <w:pPr>
        <w:spacing w:before="120" w:after="120" w:line="288" w:lineRule="auto"/>
        <w:ind w:left="0"/>
        <w:jc w:val="left"/>
        <w:rPr>
          <w:rFonts w:hint="eastAsia" w:ascii="Arial" w:hAnsi="Arial" w:eastAsia="等线" w:cs="Arial"/>
          <w:b/>
          <w:color w:val="245BDB"/>
          <w:sz w:val="22"/>
        </w:rPr>
      </w:pPr>
      <w:r>
        <w:rPr>
          <w:rFonts w:ascii="Arial" w:hAnsi="Arial" w:eastAsia="等线" w:cs="Arial"/>
          <w:b/>
          <w:color w:val="245BDB"/>
          <w:sz w:val="22"/>
        </w:rPr>
        <w:t xml:space="preserve">[数据网络] </w:t>
      </w:r>
      <w:r>
        <w:rPr>
          <w:rFonts w:hint="eastAsia" w:ascii="Arial" w:hAnsi="Arial" w:eastAsia="等线" w:cs="Arial"/>
          <w:b/>
          <w:color w:val="245BDB"/>
          <w:sz w:val="22"/>
        </w:rPr>
        <w:t>全国首个由网信部门和地方政府共同建设运营的数据跨境服务中心启用</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lang w:val="en-US" w:eastAsia="zh-CN"/>
        </w:rPr>
        <w:t>2024年4月7日，全国首个由网信部门和地方政府共同建设运营的数据跨境服务中心——临港新片区数据跨境服务中心启用。该中心将致力于为数据处理者提供全方位、全流程数据跨境服务，包括材料受理、业务咨询等环节，在自贸区一线打造数据跨境流动的“绿色通道”。临港新片区数据跨境服务中心的意义在于，它将原先面向少数的渠道进一步拓宽、面向大众，只要数据处理者有需求，跨境服务中心就会提供材料受理、业务咨询等服务。同步上线试运行的临港新片区数据跨境公共服务管理平台还提供材料在线提交、项目在线申报、结果在线查询等便捷功能。更重要的是，对提出申请的场景，没有发现敏感和重要数据的，临港新片区管委会就能备案通过；即使发现了重要数据或较难判断的场景，也可交由平台共建方上海市委网信办进一步分析评估。而且，临港新片区数据跨境服务中心不仅服务临港企业，还面向全市企业开放，更像是专精于数据跨境这一垂类的行政服务中心，真正做到了全方位、全流程的一站式服务。</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解放日报</w:t>
      </w:r>
    </w:p>
    <w:p>
      <w:pPr>
        <w:spacing w:before="120" w:after="120" w:line="288" w:lineRule="auto"/>
        <w:ind w:left="0"/>
        <w:jc w:val="left"/>
        <w:rPr>
          <w:rFonts w:hint="eastAsia" w:ascii="Arial" w:hAnsi="Arial" w:eastAsia="等线" w:cs="Arial"/>
          <w:color w:val="3370FF"/>
          <w:sz w:val="22"/>
          <w:u w:val="single"/>
          <w:lang w:val="en-US" w:eastAsia="zh-CN"/>
        </w:rPr>
      </w:pPr>
      <w:r>
        <w:rPr>
          <w:rFonts w:hint="eastAsia" w:ascii="Arial" w:hAnsi="Arial" w:eastAsia="等线" w:cs="Arial"/>
          <w:color w:val="3370FF"/>
          <w:sz w:val="22"/>
          <w:u w:val="single"/>
          <w:lang w:val="en-US" w:eastAsia="zh-CN"/>
        </w:rPr>
        <w:fldChar w:fldCharType="begin"/>
      </w:r>
      <w:r>
        <w:rPr>
          <w:rFonts w:hint="eastAsia" w:ascii="Arial" w:hAnsi="Arial" w:eastAsia="等线" w:cs="Arial"/>
          <w:color w:val="3370FF"/>
          <w:sz w:val="22"/>
          <w:u w:val="single"/>
          <w:lang w:val="en-US" w:eastAsia="zh-CN"/>
        </w:rPr>
        <w:instrText xml:space="preserve"> HYPERLINK "https://www.shobserver.com/staticsg/res/html/journal/detail.html?date=2024-04-08&amp;id=370260&amp;page=01" </w:instrText>
      </w:r>
      <w:r>
        <w:rPr>
          <w:rFonts w:hint="eastAsia" w:ascii="Arial" w:hAnsi="Arial" w:eastAsia="等线" w:cs="Arial"/>
          <w:color w:val="3370FF"/>
          <w:sz w:val="22"/>
          <w:u w:val="single"/>
          <w:lang w:val="en-US" w:eastAsia="zh-CN"/>
        </w:rPr>
        <w:fldChar w:fldCharType="separate"/>
      </w:r>
      <w:r>
        <w:rPr>
          <w:rStyle w:val="4"/>
          <w:rFonts w:hint="eastAsia" w:ascii="Arial" w:hAnsi="Arial" w:eastAsia="等线" w:cs="Arial"/>
          <w:color w:val="3370FF"/>
          <w:sz w:val="22"/>
          <w:lang w:val="en-US" w:eastAsia="zh-CN"/>
        </w:rPr>
        <w:t>https://www.shobserver.com/staticsg/res/html/journal/detail.html?date=2024-04-08&amp;id=370260&amp;page=01</w:t>
      </w:r>
      <w:r>
        <w:rPr>
          <w:rFonts w:hint="eastAsia" w:ascii="Arial" w:hAnsi="Arial" w:eastAsia="等线" w:cs="Arial"/>
          <w:color w:val="3370FF"/>
          <w:sz w:val="22"/>
          <w:u w:val="single"/>
          <w:lang w:val="en-US" w:eastAsia="zh-CN"/>
        </w:rPr>
        <w:fldChar w:fldCharType="end"/>
      </w:r>
    </w:p>
    <w:p>
      <w:pPr>
        <w:spacing w:before="120" w:after="120" w:line="288" w:lineRule="auto"/>
        <w:ind w:left="0"/>
        <w:jc w:val="left"/>
        <w:rPr>
          <w:rFonts w:hint="eastAsia" w:ascii="Arial" w:hAnsi="Arial" w:eastAsia="等线" w:cs="Arial"/>
          <w:color w:val="3370FF"/>
          <w:sz w:val="22"/>
          <w:u w:val="single"/>
          <w:lang w:val="en-US" w:eastAsia="zh-CN"/>
        </w:rPr>
      </w:pPr>
    </w:p>
    <w:p>
      <w:pPr>
        <w:spacing w:before="120" w:after="120" w:line="288" w:lineRule="auto"/>
        <w:ind w:left="0"/>
        <w:jc w:val="left"/>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rPr>
        <w:t>“版权AI智审”试点工作启动</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lang w:val="en-US" w:eastAsia="zh-CN"/>
        </w:rPr>
        <w:t>4月22日，最高人民法院举行“版权AI智审”试点工作启动仪式。启动仪式上，上海市、江苏省、浙江省、安徽省、山东省、广东省高级人民法院共同签署了“版权AI智审”共享协议，开启以“数字”革命带动新时代新发展阶段知识产权审判提质增效的有益尝试和探索。</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lang w:val="en-US" w:eastAsia="zh-CN"/>
        </w:rPr>
        <w:t>“版权AI智审”是数字法院建设的一项重要举措，以数字技术赋能知识产权诉源治理，借助“以图搜图”技术和海量数据底池，实现“图片查重”“创新参考”“侵权比对”三大功能，进一步解决涉图片版权案件原创权属认定、相似度比对等难题。这一举措将显著提升著作权审判查明事实和认定判断的准确度，有利于降低权利人维权取证难度、有力打击权利滥用和有效防范虚假诉讼，从而做实“抓前端、治未病”，规范市场交易秩序，从源头预防图片版权类纠纷。</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法治日报社</w:t>
      </w:r>
    </w:p>
    <w:p>
      <w:pPr>
        <w:spacing w:before="120" w:after="120" w:line="288" w:lineRule="auto"/>
        <w:ind w:left="0"/>
        <w:jc w:val="left"/>
        <w:rPr>
          <w:rFonts w:hint="eastAsia" w:eastAsia="等线"/>
          <w:lang w:val="en-US" w:eastAsia="zh-CN"/>
        </w:rPr>
      </w:pPr>
      <w:r>
        <w:rPr>
          <w:rFonts w:hint="eastAsia" w:ascii="Arial" w:hAnsi="Arial" w:eastAsia="等线" w:cs="Arial"/>
          <w:color w:val="3370FF"/>
          <w:sz w:val="22"/>
          <w:u w:val="single"/>
          <w:lang w:val="en-US" w:eastAsia="zh-CN"/>
        </w:rPr>
        <w:t>http://epaper.legaldaily.com.cn/fzrb/content/20240423/Articel01007GN.htm</w:t>
      </w:r>
    </w:p>
    <w:p>
      <w:pPr>
        <w:spacing w:before="120" w:after="120" w:line="288" w:lineRule="auto"/>
        <w:ind w:left="0"/>
        <w:jc w:val="left"/>
        <w:rPr>
          <w:rFonts w:hint="eastAsia" w:ascii="Arial" w:hAnsi="Arial" w:eastAsia="等线" w:cs="Arial"/>
          <w:color w:val="3370FF"/>
          <w:sz w:val="22"/>
          <w:u w:val="single"/>
          <w:lang w:val="en-US" w:eastAsia="zh-CN"/>
        </w:rPr>
      </w:pP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pPr>
        <w:spacing w:before="120" w:after="120" w:line="288" w:lineRule="auto"/>
        <w:ind w:left="0"/>
        <w:jc w:val="center"/>
        <w:rPr>
          <w:rFonts w:hint="eastAsia" w:ascii="Arial" w:hAnsi="Arial" w:eastAsia="等线" w:cs="Arial"/>
          <w:sz w:val="22"/>
          <w:lang w:eastAsia="zh-CN"/>
        </w:rPr>
      </w:pPr>
      <w:r>
        <w:rPr>
          <w:rFonts w:hint="eastAsia" w:ascii="Arial" w:hAnsi="Arial" w:eastAsia="等线" w:cs="Arial"/>
          <w:sz w:val="22"/>
          <w:lang w:eastAsia="zh-CN"/>
        </w:rPr>
        <w:drawing>
          <wp:inline distT="0" distB="0" distL="114300" distR="114300">
            <wp:extent cx="1143000" cy="1143000"/>
            <wp:effectExtent l="0" t="0" r="1270" b="1270"/>
            <wp:docPr id="1" name="图片 1" descr="微信图片_2024052711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27111301"/>
                    <pic:cNvPicPr>
                      <a:picLocks noChangeAspect="1"/>
                    </pic:cNvPicPr>
                  </pic:nvPicPr>
                  <pic:blipFill>
                    <a:blip r:embed="rId6"/>
                    <a:stretch>
                      <a:fillRect/>
                    </a:stretch>
                  </pic:blipFill>
                  <pic:spPr>
                    <a:xfrm>
                      <a:off x="0" y="0"/>
                      <a:ext cx="1143000" cy="1143000"/>
                    </a:xfrm>
                    <a:prstGeom prst="rect">
                      <a:avLst/>
                    </a:prstGeom>
                  </pic:spPr>
                </pic:pic>
              </a:graphicData>
            </a:graphic>
          </wp:inline>
        </w:drawing>
      </w:r>
    </w:p>
    <w:p>
      <w:bookmarkStart w:id="0" w:name="_GoBack"/>
      <w:bookmarkEnd w:id="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ODI5OGRlYzU0YjI1ZDAwOTEzZmMxMjU0Mzc4ODgifQ=="/>
  </w:docVars>
  <w:rsids>
    <w:rsidRoot w:val="1B2B4E18"/>
    <w:rsid w:val="1B2B4E18"/>
    <w:rsid w:val="643B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7056</Words>
  <Characters>7814</Characters>
  <Lines>0</Lines>
  <Paragraphs>0</Paragraphs>
  <TotalTime>126</TotalTime>
  <ScaleCrop>false</ScaleCrop>
  <LinksUpToDate>false</LinksUpToDate>
  <CharactersWithSpaces>7849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2024-05-21T09:29:00Z</dcterms:created>
  <dc:creator>BL</dc:creator>
  <cp:lastModifiedBy>徐莉莉</cp:lastModifiedBy>
  <dcterms:modified xsi:type="dcterms:W3CDTF">2024-05-27T03:13:32Z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F0627745B6C2485DB90FBA23A4983FB9_11</vt:lpwstr>
  </property>
</Properties>
</file>