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ind w:left="0"/>
        <w:jc w:val="center"/>
        <w:rPr>
          <w:sz w:val="44"/>
          <w:szCs w:val="44"/>
        </w:rPr>
      </w:pPr>
      <w:r>
        <w:rPr>
          <w:rFonts w:ascii="Arial" w:hAnsi="Arial" w:eastAsia="等线" w:cs="Arial"/>
          <w:b/>
          <w:sz w:val="44"/>
          <w:szCs w:val="44"/>
        </w:rPr>
        <w:t>数字经济法律服务月刊 2024年2月刊</w:t>
      </w:r>
    </w:p>
    <w:p>
      <w:pPr>
        <w:spacing w:before="120" w:after="120" w:line="288" w:lineRule="auto"/>
        <w:ind w:left="0"/>
        <w:jc w:val="center"/>
      </w:pPr>
      <w:r>
        <w:rPr>
          <w:rFonts w:ascii="Arial" w:hAnsi="Arial" w:eastAsia="等线" w:cs="Arial"/>
          <w:b/>
          <w:sz w:val="22"/>
        </w:rPr>
        <w:t xml:space="preserve"> </w:t>
      </w:r>
    </w:p>
    <w:p>
      <w:pPr>
        <w:spacing w:before="120" w:after="120" w:line="288" w:lineRule="auto"/>
        <w:ind w:left="0"/>
        <w:jc w:val="center"/>
      </w:pPr>
      <w:r>
        <w:rPr>
          <w:rFonts w:ascii="Arial" w:hAnsi="Arial" w:eastAsia="等线" w:cs="Arial"/>
          <w:b/>
          <w:sz w:val="22"/>
        </w:rPr>
        <w:t>【立法前沿】</w:t>
      </w:r>
    </w:p>
    <w:p>
      <w:pPr>
        <w:spacing w:before="120" w:after="120" w:line="288" w:lineRule="auto"/>
        <w:ind w:left="0"/>
        <w:jc w:val="left"/>
      </w:pPr>
      <w:bookmarkStart w:id="0" w:name="_GoBack"/>
      <w:bookmarkEnd w:id="0"/>
    </w:p>
    <w:p>
      <w:pPr>
        <w:spacing w:before="120" w:after="120" w:line="288" w:lineRule="auto"/>
        <w:ind w:left="0"/>
        <w:jc w:val="left"/>
      </w:pPr>
      <w:r>
        <w:rPr>
          <w:rFonts w:ascii="Arial" w:hAnsi="Arial" w:eastAsia="等线" w:cs="Arial"/>
          <w:b/>
          <w:color w:val="245BDB"/>
          <w:sz w:val="22"/>
        </w:rPr>
        <w:t>[数据网络] 财政部发布《关于加强行政事业单位数据资产管理的通知》</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贯彻落实《中共中央国务院关于构建数据基础制度更好发挥数据要素作用的意见》，加强行政事业单位数据资产管理，充分发挥数据资产价值作用，保障数据资产安全，更好地服务与保障单位履职和事业发展，财政部于2024年02月05日就加强行政事业单位数据资产管理工作发布通知。该通知要求各部门及其所属单位要明晰管理责任，健全管理制度，规范管理行为，释放资产价值，严格防控风险，确保数据安全，切实加强行政事业单位数据资产管理，因地制宜探索数据资产管理模式，充分实现数据要素价值，更好发挥数据资产对推动数字经济发展的支撑作用。</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财政部</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https://zcgls.mof.gov.cn/zhengcefabu/202402/t20240207_3928525.htm</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工业和信息化部发布《工业领域数据安全能力提升实施方案（2024-2026年）》</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为贯彻落实习近平总书记关于数据安全的重要指示精神和党中央、国务院决策部署，推动《中华人民共和国数据安全法》《中华人民共和国网络安全法》 《工业和信息化领域数据安全管理办法（试行）》等在工业领域落地实施，加快提升工业领域数据安全保护能力，助力工业高质量发展，夯实新型工业化发展的安全基石，工业和信息化部于2024年2月23日制定实施方案，旨在分步骤、有重点地指导各方扎实推进工业领域数据安全工作。该实施方案围绕提升工业企业数据保护、数据安全监管、数据安全产业支撑三类能力，明确提出11项重点任务。其中，关于提升工业企业数据保护能力，提出了增强安全意识、开展重要数据保护、强化重点企业管理、深化重点场景保护4项任务；关于提升数据安全监管能力，提出了完善政策标准、加强风险防控、推进技术手段建设、锻造监管执法能力4项任务；关于提升数据安全产业支撑能力，提出了加大技术产品和服务供给、促进应用推广和供需对接、健全人才培养体系3项任务。</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工业和信息化部</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https://wap.miit.gov.cn/zwgk/zcwj/wjfb/tz/art/2024/art_1a556c20db1b4e19a12578044db0558e.html</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浙江省通信管理局就《浙江省工业互联网标识“浙里贯通”行动计划实施意见》公开征求意见</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加快新型信息基础设施建设，促进数字经济和实体经济深度融合，推动工业互联网标识解析规模应用，助力浙江数字经济创新提质“一号工程”，高水平建设“415X”先进制造业集群，浙江省通信管理局于2024年2月22日制定了实施意见。该实施意见旨在聚焦工业大数据数据流通与价值链升级中的痛点难点，围绕区域、行业和企业提质、增效、降本、减存、绿色、安全等核心诉求，以产业链、供应链和价值链贯通的路径为指引，从技术、设施、服务、应用等方面开展攻关，到2026年，自主可控的标识解析体系基本建成，重点领域工业互联网标识实现规模应用，工业互联网标识解析产业生态发展壮大，对推动企业数字化转型、畅通产业链供应链、促进大中小企业和一二三产业融通发展的支撑作用不断增强。实施意见在前述目标的基础上，提出了服务能力提升工程、贯通疏堵强链工程、实施“标识+园区”标识应用扩面工程和融合应用联动工程等4项重点任务，并通过建立健全工作机制、加大政策资金支持、加强标识服务管理、重视人才队伍建设和营造开放产业环境等5项保障措施予以政策支持。</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浙江省通信管理局</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https://zjca.miit.gov.cn/zwgk/tzgg/art/2024/art_4debf7842b4e4ff4b21ee7e155212db5.html</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北京市经济和信息化局发布《北京市制造业数字化转型实施方案（2024-2026年）》</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为推动北京市制造业率先实现数字化转型，北京市经济和信息化局于2024年2月28日研究制定了《北京市制造业数字化转型实施方案（2024-2026年）》。该实施方案共推进三大任务。 一是全面开展数字化达标，制定并持续优化数字化转型评估指标体系，提出企业数字化转型“达标线”，鼓励企业通过多种形式改造升级，满足达标要求；二是采取平台赋能、产业链带动、产业园区推动三条路径服务推动企业数字化转型，包括培育工业互联网平台，支持标杆企业、工业互联网二级节点建设企业赋能产业链供应链上下游，鼓励产业园区组织园区内企业开展数字化改造；三是遴选推广两类优秀产品，打造两类示范，包括推广数字化转型优秀解决方案，推广自主创新智能装备、工业软件创新应用，打造人工智能创新应用示范，打造北京市数字化转型标杆示范。</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北京市经济和信息化局</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https://jxj.beijing.gov.cn/zwgk/zcwj/bjszc/202403/t20240301_3578453.html</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[人工智能] 内蒙古自治区政务服务与数据管理局等四部门发布《内蒙古自治区促进通用人工智能发展若干措施》</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贯彻落实国家发展新一代人工智能的决策部署，充分发挥内蒙古自治区算力资源优势，抢抓通用人工智能发展机遇，推动内蒙古自治区通用人工智能技术快速发展和深度应用，内蒙古自治区政务服务与数据管理局等四部门于2024年2月1日发布该措施，并在其中提出了强化算力供给能力、提升数据供给水平、积极参与技术研究、推动创新场景应用及加强保障力度等五项举措。</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鄂尔多斯市工业和信息化局</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http://gxj.ordos.gov.cn/xwzx_126434/tzgg_126436/202402/t20240207_3571017.html</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安徽省市场监督管理局就《安徽省数据知识产权登记管理办法（试行）（征求意见稿）》公开征求意见建议</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规范安徽省数据知识产权登记管理，维护数据处理者合法权益，促进数据资源开放流动和开发利用，安徽省市场监管局研究起草了《安徽省数据知识产权登记管理办法（试行）（征求意见稿）》，并于2024年2月7日向社会公开征求意见。该办法适用于对依法依规获取的，经过一定规则处理形成的，具有应用价值和智力成果属性的数据提供数据知识产权登记服务，共分为总则、登记内容、登记程序、监督管理、附则五章，共计30条。该办法规定了登记事项、申请主体、申请材料要求、登记前的数据存证公证等登记内容，规范了登记申请审查、文书送达、登记公示、异议处理、不予登记的情形、发证及公告、撤回放弃、变更登记、证书效力、档案管理等登记程序，并明确了监督管理职责。</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安徽省市场监督管理局</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https://amr.ah.gov.cn/xwdt/gsgg/149170601.html</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【审判观点】</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[数字经济] 发售不具艺术、收藏价值的数字藏品骗人投资涉嫌诈骗</w:t>
      </w: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以虚构价值、承诺保价回购等方式公开发售不具有艺术、收藏价值的数字藏品，通过雇佣水军、操控账户炒作市场热度，骗取用户资金。近日，广东省深圳市福田区人民法院审结一起涉数字藏品诈骗案，依法判决被告人陈某构成诈骗罪，判处有期徒刑十二年，并处罚金。</w:t>
      </w:r>
    </w:p>
    <w:p>
      <w:pPr>
        <w:spacing w:before="120" w:after="120" w:line="288" w:lineRule="auto"/>
        <w:ind w:left="0"/>
        <w:jc w:val="left"/>
      </w:pPr>
      <w:r>
        <w:rPr>
          <w:rFonts w:ascii="Arial" w:hAnsi="Arial" w:eastAsia="等线" w:cs="Arial"/>
          <w:sz w:val="22"/>
        </w:rPr>
        <w:t xml:space="preserve">    2022年6月，陈某注册成立某信息科技有限公司，在无网络经营许可证等信息服务备案的情况下，开发某平台公开销售数字藏品，并利用微信公众号等渠道对外宣传称其发售的藏品为限量，投资该数字藏品稳赚不赔。2022年7月，该平台发行数字藏品。在“保本回购、稳定升值”的宣传话术诱骗下，众多用户购入该款数字藏品。一个月内，该平台对外售出近3万份藏品。其后陈某开放二级市场交易，并通过操控账户、雇佣水军等方式虚增交易价格、炒作市场热度从而归集资金。其间，该公司账户收款160余万元，陈某从中套现用于个人消费、偿还债务等。2022年10月至11月，陈某停止服务器续费，关闭平台，造成用户无法提现和查看数字藏品。</w:t>
      </w:r>
    </w:p>
    <w:p>
      <w:pPr>
        <w:spacing w:before="120" w:after="120" w:line="288" w:lineRule="auto"/>
        <w:ind w:left="0"/>
        <w:jc w:val="left"/>
      </w:pPr>
      <w:r>
        <w:rPr>
          <w:rFonts w:ascii="Arial" w:hAnsi="Arial" w:eastAsia="等线" w:cs="Arial"/>
          <w:sz w:val="22"/>
        </w:rPr>
        <w:t xml:space="preserve">    法院审理后认为，陈某搭建不具备相应资质的涉案平台公开发行不具备艺术性和文化价值的数字藏品，以夸大价值、承诺“保价回购”“赠送实物”等骗术，使用户产生错误认识交付资金。后开放二级市场供用户流转交易，以拉抬价格等方式干预、炒作，利用客户追涨心理保持市场热度从而归集资金。陈某持续提现涉案平台钱款，用于个人消费及偿还债务，并关闭平台造成客户无法提现和查看藏品，导致案发时无法退还全部被害人损失的危害后果。此外，陈某还诈骗多名被害人百余万元。陈某以非法占有为目的，骗取他人财物，数额特别巨大，其行为已构成诈骗罪，应予惩罚。综合考虑陈某在缓刑考验期间又犯新罪、认罪认罚等情节，依照相关法律规定，法院作出上述判决。目前，该判决已生效。</w:t>
      </w:r>
    </w:p>
    <w:p>
      <w:pPr>
        <w:spacing w:before="120" w:after="120" w:line="288" w:lineRule="auto"/>
        <w:ind w:left="0"/>
        <w:jc w:val="left"/>
      </w:pPr>
      <w:r>
        <w:rPr>
          <w:rFonts w:ascii="Arial" w:hAnsi="Arial" w:eastAsia="等线" w:cs="Arial"/>
          <w:sz w:val="22"/>
        </w:rPr>
        <w:t xml:space="preserve">    ■法官说法</w:t>
      </w:r>
    </w:p>
    <w:p>
      <w:pPr>
        <w:spacing w:before="120" w:after="120" w:line="288" w:lineRule="auto"/>
        <w:ind w:left="0"/>
        <w:jc w:val="left"/>
      </w:pPr>
      <w:r>
        <w:rPr>
          <w:rFonts w:ascii="Arial" w:hAnsi="Arial" w:eastAsia="等线" w:cs="Arial"/>
          <w:sz w:val="22"/>
        </w:rPr>
        <w:t xml:space="preserve">    数字藏品是指使用区块链技术，对特定作品、艺术品等生成的可追溯的唯一数字凭证，实现特定作品、艺术品的数字化发行、购买、收藏和使用。在数字经济大发展背景下，数字藏品已经在社会上引发现象级的关注热度。数字藏品作为依托于区块链的虚拟商品，尚未形成科学规范的价值体系，极易引发价格乱象与市场风险。部分不法分子公开发售不具有对等价值的数字藏品，不少用户尤其是在校生等年轻群体因缺少相关知识、投资获利心切等原因，投入大量资金，造成财产损失。为此，提醒广大群众要提高防骗识诈能力，警惕违法平台虚假宣传的高额收益、稳赚不赔骗术，不为利诱手段和人为营造的抢购假象所惑。购买数字藏品应选择合法公开的平台，避免因虚假的高额回报丢了真金白银。</w:t>
      </w:r>
    </w:p>
    <w:p>
      <w:pPr>
        <w:spacing w:before="120" w:after="120" w:line="288" w:lineRule="auto"/>
        <w:ind w:left="0"/>
        <w:jc w:val="left"/>
      </w:pPr>
    </w:p>
    <w:p>
      <w:pPr>
        <w:spacing w:before="120" w:after="120" w:line="288" w:lineRule="auto"/>
        <w:ind w:left="0"/>
        <w:jc w:val="left"/>
      </w:pPr>
      <w:r>
        <w:rPr>
          <w:rFonts w:ascii="Arial" w:hAnsi="Arial" w:eastAsia="等线" w:cs="Arial"/>
          <w:b/>
          <w:sz w:val="22"/>
        </w:rPr>
        <w:t>来源：</w:t>
      </w:r>
      <w:r>
        <w:rPr>
          <w:rFonts w:ascii="Arial" w:hAnsi="Arial" w:eastAsia="等线" w:cs="Arial"/>
          <w:sz w:val="22"/>
        </w:rPr>
        <w:t>人民法院报</w:t>
      </w:r>
    </w:p>
    <w:p>
      <w:pPr>
        <w:spacing w:before="120" w:after="120" w:line="288" w:lineRule="auto"/>
        <w:ind w:left="0"/>
        <w:jc w:val="left"/>
      </w:pPr>
      <w:r>
        <w:rPr>
          <w:rFonts w:ascii="Arial" w:hAnsi="Arial" w:eastAsia="等线" w:cs="Arial"/>
          <w:sz w:val="22"/>
        </w:rPr>
        <w:t>http://rmfyb.chinacourt.org/paper/html/2024-02/29/content_237016.htm</w:t>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【实务指引】</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数据抓取不正当竞争纠纷中的利益平衡</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sz w:val="22"/>
        </w:rPr>
        <w:t xml:space="preserve">    数据抓取涉及数据自由流动和数据安全之间的冲突，关系着数据抓取者、被抓取者、社会公众等多元主体的利益。从反不正当竞争的角度分析数据抓取问题，可以通过判断行为正当性、损害后果中的权利范围与边界，协调多元主体间重叠或冲突的权利主张，并以合理的赔偿满足利益诉求，从而以最小冲突的方式实现利益的平衡。</w:t>
      </w:r>
    </w:p>
    <w:p>
      <w:pPr>
        <w:spacing w:before="120" w:after="120" w:line="288" w:lineRule="auto"/>
        <w:ind w:left="0"/>
        <w:jc w:val="left"/>
      </w:pPr>
      <w:r>
        <w:rPr>
          <w:rFonts w:ascii="Arial" w:hAnsi="Arial" w:eastAsia="等线" w:cs="Arial"/>
          <w:sz w:val="22"/>
        </w:rPr>
        <w:t xml:space="preserve">    一、区分数据类型，确定数据抓取行为的正当性</w:t>
      </w:r>
    </w:p>
    <w:p>
      <w:pPr>
        <w:spacing w:before="120" w:after="120" w:line="288" w:lineRule="auto"/>
        <w:ind w:left="0"/>
        <w:jc w:val="left"/>
      </w:pPr>
      <w:r>
        <w:rPr>
          <w:rFonts w:ascii="Arial" w:hAnsi="Arial" w:eastAsia="等线" w:cs="Arial"/>
          <w:sz w:val="22"/>
        </w:rPr>
        <w:t xml:space="preserve">    对于未经加工的原始数据，需要进行利益平衡的是属于个人信息的数据，这类数据涉及信息主体、数据经营者、经营者的同类竞争者三方利益期待，经营者享有的数据权益边界受到个人信息主体权益的制约。个人信息与信息主体的人格权益密切相关，体现着人格尊严，因此应当优先保障信息主体的权利，经营者对这部分数据享有有限的使用权，不能完全排除他人对这类数据的使用。《个人信息保护法》第四十五条第三款规定的信息主体的个人信息携带权，即“个人请求将个人信息转移至其指定的个人信息处理者，符合国家网信部门规定条件的，个人信息处理者应当提供转移的途径”，也从侧面说明了经营者对其掌握的个人信息并不享有独占的权利。</w:t>
      </w:r>
    </w:p>
    <w:p>
      <w:pPr>
        <w:spacing w:before="120" w:after="120" w:line="288" w:lineRule="auto"/>
        <w:ind w:left="0"/>
        <w:jc w:val="left"/>
      </w:pPr>
      <w:r>
        <w:rPr>
          <w:rFonts w:ascii="Arial" w:hAnsi="Arial" w:eastAsia="等线" w:cs="Arial"/>
          <w:sz w:val="22"/>
        </w:rPr>
        <w:t xml:space="preserve">    对于经过经营者加工的数据，按照洛克的劳动赋权理论，因为这些数据是基于经营者付出劳动的所得，所以经营者应当享有相应的财产权益，否则经营者将难以获得稳定的权利保障，以持续进行数据开发利用。此时利益衡量发生在数据公开的情形下，一方面，经营者对这类数据享有更为饱满的财产权益，可以不受限制地支配、利用，但另一方面，数据的公开形态又意味着数据有被他人使用的可能。此时，需要尊重经营者的意志，将经营者设置的数据权益条款作为判断的标准，例如经营者设置的爬虫协议，指明了允许和禁止爬取的数据范围，如果他人依照条款进行爬取，同时又未违反相关法律规定，则是合理的利用，否则可能构成不正当竞争。</w:t>
      </w:r>
    </w:p>
    <w:p>
      <w:pPr>
        <w:spacing w:before="120" w:after="120" w:line="288" w:lineRule="auto"/>
        <w:ind w:left="0"/>
        <w:jc w:val="left"/>
      </w:pPr>
      <w:r>
        <w:rPr>
          <w:rFonts w:ascii="Arial" w:hAnsi="Arial" w:eastAsia="等线" w:cs="Arial"/>
          <w:sz w:val="22"/>
        </w:rPr>
        <w:t xml:space="preserve">    二、平衡多元利益，确定数据抓取的损害后果</w:t>
      </w:r>
    </w:p>
    <w:p>
      <w:pPr>
        <w:spacing w:before="120" w:after="120" w:line="288" w:lineRule="auto"/>
        <w:ind w:left="0"/>
        <w:jc w:val="left"/>
      </w:pPr>
      <w:r>
        <w:rPr>
          <w:rFonts w:ascii="Arial" w:hAnsi="Arial" w:eastAsia="等线" w:cs="Arial"/>
          <w:sz w:val="22"/>
        </w:rPr>
        <w:t xml:space="preserve">    为了实现对多元利益的平衡保护，可以从以下两个方面考量边界范围。一方面是对损害程度的判断。损害程度可以通过替代效果表现出来，如果数据抓取方的产品已经对被抓取方造成了实质性替代，那么损害就超过了合理边界。经营者掌握的数据资源是其付出劳动形成的成果，基于此开发的产品还投入了大量智力劳动。而数据抓取者并未投入与数据资源成比例的劳动，直接利用他人的市场成果，使经营者的产品被替代，这种食人而肥的竞争方式不正当地损害了经营者的合法利益。在“大众点评诉百度案”中，实质性替代的标准进一步完善，包括使用的数据规模较大，竞争所使用的大部分数据均来源于被抓取方的数据，超出了必要的限度。此外，在使用方式上，并未采取适当的方式，而是通过全文以及前排显示用户评价等被抓取数据，事实上替代了被抓取方的产品功能。</w:t>
      </w:r>
    </w:p>
    <w:p>
      <w:pPr>
        <w:spacing w:before="120" w:after="120" w:line="288" w:lineRule="auto"/>
        <w:ind w:left="0"/>
        <w:jc w:val="left"/>
      </w:pPr>
      <w:r>
        <w:rPr>
          <w:rFonts w:ascii="Arial" w:hAnsi="Arial" w:eastAsia="等线" w:cs="Arial"/>
          <w:sz w:val="22"/>
        </w:rPr>
        <w:t xml:space="preserve">    另一方面是对公共利益的审查。当数据抓取为消费者带来了福利或提升了公共利益水平，也可能使数据抓取者豁免责任。在“HiQ诉领英数据爬虫案”中，法院认为数据爬虫可以促进数据流通，实现言论的充分交流与互联网的公共性，因此反对为数据爬虫设置壁垒。数据抓取存在公共利益的面向，但也不能因此排除不正当竞争的可能，需要对公共利益与数据被抓取者的损害进行衡量。此时，可以借助比例原则为利益平衡提供审查框架。其一，在合目的性上，使用抓取的数据应当包含促进公共利益实现的目的，存在公共利益是进行利益衡量的前提。抓取的数据被用于有创新性的技术或服务，能够促进市场的繁荣发展，或是有利于推动相关权利的实现，提升利于消费者的福祉等，都可以作为公共利益的内容。其二，在必要性上，审查抓取数据的行为是否是对被抓取方损害最小的措施。在抓取数据时，如果反复高频地访问服务器，导致服务器的过载甚至崩溃，会造成被抓取方合法利益受损，难以维系正常的经营。这种行为以牺牲经营者合法利益为代价，超出了实现公共利益的必要限度。其三，在相称性上，以长期的视角评估数据抓取带来的正面效应是否与损害成比例。部分不正当竞争行为在短期内可以为消费者带来更低的交易成本等福利，但从长远来看，可能损害行业创新能力与公平的市场秩序，消费者的长期利益也难有保障。</w:t>
      </w:r>
    </w:p>
    <w:p>
      <w:pPr>
        <w:spacing w:before="120" w:after="120" w:line="288" w:lineRule="auto"/>
        <w:ind w:left="0"/>
        <w:jc w:val="left"/>
      </w:pPr>
      <w:r>
        <w:rPr>
          <w:rFonts w:ascii="Arial" w:hAnsi="Arial" w:eastAsia="等线" w:cs="Arial"/>
          <w:sz w:val="22"/>
        </w:rPr>
        <w:t xml:space="preserve">    三、划定合理区间，确定不正当竞争的赔偿数额</w:t>
      </w:r>
    </w:p>
    <w:p>
      <w:pPr>
        <w:spacing w:before="120" w:after="120" w:line="288" w:lineRule="auto"/>
        <w:ind w:left="0"/>
        <w:jc w:val="left"/>
      </w:pPr>
      <w:r>
        <w:rPr>
          <w:rFonts w:ascii="Arial" w:hAnsi="Arial" w:eastAsia="等线" w:cs="Arial"/>
          <w:sz w:val="22"/>
        </w:rPr>
        <w:t xml:space="preserve">    在数据抓取不正当竞争案件中，通常要依赖法院根据实际情况、综合不正当竞争行为持续时间、影响后果、数据价值等相关因素，通过酌定的方式确定赔偿数额。</w:t>
      </w:r>
    </w:p>
    <w:p>
      <w:pPr>
        <w:spacing w:before="120" w:after="120" w:line="288" w:lineRule="auto"/>
        <w:ind w:left="0"/>
        <w:jc w:val="left"/>
      </w:pPr>
      <w:r>
        <w:rPr>
          <w:rFonts w:ascii="Arial" w:hAnsi="Arial" w:eastAsia="等线" w:cs="Arial"/>
          <w:sz w:val="22"/>
        </w:rPr>
        <w:t xml:space="preserve">    酌定赔偿的合理运用以公平、效率为价值，平衡当事人之间的权利义务，实现对受害方的救济。在确定数据价值时，可以将成本法与收益法相结合，确定数据价值的区间。基于成本法确定的数额可能低估数据的价值，因为缺少对数据作为生产要素，与具体劳动结合创造出各种不同的使用价值的评价，所以可用于判断最低赔偿数额。美国《计算机欺诈与滥用法》（CFAA）也使用了成本法作为损害认定的标准，并将成本范围扩大，认定较为宽松。该法将“损失”定义为“对受害者的任何合理成本，其中包括应对违法行为成本，损害评估成本，将数据、程序、系统或信息恢复至违反行为发生前的成本，以及因服务中断而导致的任何收入损失、成本增加或其他间接损失”。收益法则评价数据使用的预期收益，在被抓取方对于数据使用的目的明确清晰的情况下，例如用于吸引流量、获取广告收益，那么可以结合被抓取数据的规模，以及历史收益情况，对预期收益进行量化计算。这种方式可能面临不同时期、不同数据类型，市场需求度有所不同的问题，而难以获取与被抓取数据收益一致的历史数据。此外，数据被抓取方也更倾向于提供有较高收益的历史数据，提高可能获得的赔偿数额。因此，可以通过收益法确定数据价值的上限，在成本法与收益法之间酌定赔偿数额，为数据抓取方确定公平的法律责任。</w:t>
      </w:r>
    </w:p>
    <w:p>
      <w:pPr>
        <w:spacing w:before="120" w:after="120" w:line="288" w:lineRule="auto"/>
        <w:ind w:left="0"/>
        <w:jc w:val="left"/>
      </w:pPr>
    </w:p>
    <w:p>
      <w:pPr>
        <w:spacing w:before="120" w:after="120" w:line="288" w:lineRule="auto"/>
        <w:ind w:left="0"/>
        <w:jc w:val="left"/>
      </w:pPr>
      <w:r>
        <w:rPr>
          <w:rFonts w:ascii="Arial" w:hAnsi="Arial" w:eastAsia="等线" w:cs="Arial"/>
          <w:b/>
          <w:sz w:val="22"/>
        </w:rPr>
        <w:t>提供人：</w:t>
      </w:r>
      <w:r>
        <w:rPr>
          <w:rFonts w:ascii="Arial" w:hAnsi="Arial" w:eastAsia="等线" w:cs="Arial"/>
          <w:sz w:val="22"/>
        </w:rPr>
        <w:t>华东政法大学 郑驰</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人民法院报</w:t>
      </w:r>
    </w:p>
    <w:p>
      <w:pPr>
        <w:spacing w:before="120" w:after="120" w:line="288" w:lineRule="auto"/>
        <w:ind w:left="0"/>
        <w:jc w:val="left"/>
      </w:pPr>
      <w:r>
        <w:fldChar w:fldCharType="begin"/>
      </w:r>
      <w:r>
        <w:instrText xml:space="preserve"> HYPERLINK "https://mp.weixin.qq.com/s/nOg5hm4Aczxxc65aJt5aEw" \h </w:instrText>
      </w:r>
      <w:r>
        <w:fldChar w:fldCharType="separate"/>
      </w:r>
      <w:r>
        <w:rPr>
          <w:rFonts w:ascii="Arial" w:hAnsi="Arial" w:eastAsia="等线" w:cs="Arial"/>
          <w:color w:val="3370FF"/>
          <w:sz w:val="22"/>
          <w:u w:val="single"/>
        </w:rPr>
        <w:t>http://rmfyb.chinacourt.org/paper/html/2024-02/08/content_236605.htm</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【法律产品】</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[数字经济] 《健康医疗数据合规手册》</w:t>
      </w: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2021年，中国制造业占全球比重高达28.6%，全球第一，企业内部数字化转型和产业互联网连接居全球中上水平，产生企业行为相关的海量数据。2022年，中国移动端月活上网人数11.7亿，人均上网时长6.9小时，每天提供在线总时长80亿小时，全球第一，产生个人行为相关的海量数据。2022年，中国660个城市中，超过600个进行智慧城市建设，全球第一，产生与城市运转相关的海量数据。中国5G基站占比和连接5G基站的网民数量和企业数量均高居全球第一，数据传输便利高效，数据市场建设具备良好基础。</w:t>
      </w:r>
    </w:p>
    <w:p>
      <w:pPr>
        <w:spacing w:before="120" w:after="120" w:line="288" w:lineRule="auto"/>
        <w:ind w:left="0"/>
        <w:jc w:val="left"/>
      </w:pPr>
      <w:r>
        <w:rPr>
          <w:rFonts w:ascii="Arial" w:hAnsi="Arial" w:eastAsia="等线" w:cs="Arial"/>
          <w:sz w:val="22"/>
        </w:rPr>
        <w:t xml:space="preserve">    数据是企业重要的资产要素。随着行业受众越来越广，企业、政府需求量增大、中央、地方立法的完善以及数字政府制度的创新，广东华商律师事务所推出《数据资产化法律服务产品》，旨在将客户的数据合规后通过确认数据权属、数据估值、数据入表、数据交易等方式资产化，助力打造数字城市、数字中国。</w:t>
      </w:r>
    </w:p>
    <w:p>
      <w:pPr>
        <w:spacing w:before="120" w:after="120" w:line="288" w:lineRule="auto"/>
        <w:ind w:left="0"/>
        <w:jc w:val="left"/>
      </w:pPr>
    </w:p>
    <w:p>
      <w:pPr>
        <w:spacing w:before="120" w:after="120" w:line="288" w:lineRule="auto"/>
        <w:ind w:left="0"/>
        <w:jc w:val="left"/>
      </w:pPr>
      <w:r>
        <w:rPr>
          <w:rFonts w:ascii="Arial" w:hAnsi="Arial" w:eastAsia="等线" w:cs="Arial"/>
          <w:b/>
          <w:sz w:val="22"/>
        </w:rPr>
        <w:t>来源：</w:t>
      </w:r>
      <w:r>
        <w:rPr>
          <w:rFonts w:ascii="Arial" w:hAnsi="Arial" w:eastAsia="等线" w:cs="Arial"/>
          <w:sz w:val="22"/>
        </w:rPr>
        <w:t>华商律师微信公众号</w:t>
      </w:r>
    </w:p>
    <w:p>
      <w:pPr>
        <w:spacing w:before="120" w:after="120" w:line="288" w:lineRule="auto"/>
        <w:ind w:left="0"/>
        <w:jc w:val="left"/>
      </w:pPr>
      <w:r>
        <w:fldChar w:fldCharType="begin"/>
      </w:r>
      <w:r>
        <w:instrText xml:space="preserve"> HYPERLINK "https://mp.weixin.qq.com/s/nOg5hm4Aczxxc65aJt5aEw" \h </w:instrText>
      </w:r>
      <w:r>
        <w:fldChar w:fldCharType="separate"/>
      </w:r>
      <w:r>
        <w:rPr>
          <w:rFonts w:ascii="Arial" w:hAnsi="Arial" w:eastAsia="等线" w:cs="Arial"/>
          <w:color w:val="3370FF"/>
          <w:sz w:val="22"/>
          <w:u w:val="single"/>
        </w:rPr>
        <w:t>https://mp.weixin.qq.com/s/UWwpkDmscyWj0B-nlRO-IQ</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【动态信息】</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color w:val="245BDB"/>
          <w:sz w:val="22"/>
        </w:rPr>
        <w:t>[数字经济] 北京东城首次强制划拨数字人民币钱包余额</w:t>
      </w: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w:t>
      </w:r>
      <w:r>
        <w:rPr>
          <w:rFonts w:hint="eastAsia" w:ascii="Arial" w:hAnsi="Arial" w:eastAsia="等线" w:cs="Arial"/>
          <w:sz w:val="22"/>
          <w:lang w:val="en-US" w:eastAsia="zh-CN"/>
        </w:rPr>
        <w:t xml:space="preserve"> </w:t>
      </w:r>
      <w:r>
        <w:rPr>
          <w:rFonts w:ascii="Arial" w:hAnsi="Arial" w:eastAsia="等线" w:cs="Arial"/>
          <w:sz w:val="22"/>
        </w:rPr>
        <w:t xml:space="preserve"> 北京市东城区人民法院首次强制划拨被执行人名下数字人民币钱包余额，既保障了当事人的胜诉权益，又为今后强制执行数字人民币钱包余额这种新型财产积累了成功经验。数字人民币是由中国人民银行发行的数字形式的法定货币，与实物人民币等价，具有价值特征和法偿性，是人民币的数字化形式，数字人民币钱包余额属于被执行人名下的一种新型财产。</w:t>
      </w:r>
    </w:p>
    <w:p>
      <w:pPr>
        <w:spacing w:before="120" w:after="120" w:line="288" w:lineRule="auto"/>
        <w:ind w:left="0"/>
        <w:jc w:val="left"/>
      </w:pPr>
      <w:r>
        <w:rPr>
          <w:rFonts w:ascii="Arial" w:hAnsi="Arial" w:eastAsia="等线" w:cs="Arial"/>
          <w:sz w:val="22"/>
        </w:rPr>
        <w:t xml:space="preserve">    申请执行人某合伙企业与被执行人丁某合同纠纷一案，东城区法院依法判决丁某支付投资款500万余元及相应的投资收益。判决生效后丁某未按期履行支付义务，申请执行人某合伙企业向东城区法院申请强制执行。进入执行程序后，东城区法院经调查发现，被执行人丁某可能开通有数字人民币钱包。因数字人民币钱包与传统的银行账户不同，当事人使用手机下载数字人民币APP注册后自行选择任意一家运营机构即可开通。目前提供数字人民币服务的运营机构共有中国工商银行、中国农业银行、中国银行、中国建设银行、中国邮政储蓄银行、交通银行、招商银行、兴业银行、网商银行（支付宝）、微众银行（微信支付）等。东城区法院执行干警挨个前往上述数字人民币运营银行的网点进行查询，最终发现被执行人丁某在中国建设银行开通有数字人民币钱包且钱包内有部分余额，遂依法要求中国建设银行协助对被执行人丁某名下数字人民币钱包余额进行冻结、划拨，该银行网点予以协助冻结，经联系沟通，最终在相关部门的协调下，该银行完成系统升级并顺利将被执行人丁某名下数字人民币钱包余额划拨至法院账户。</w:t>
      </w:r>
    </w:p>
    <w:p>
      <w:pPr>
        <w:spacing w:before="120" w:after="120" w:line="288" w:lineRule="auto"/>
        <w:ind w:left="0"/>
        <w:jc w:val="left"/>
      </w:pPr>
    </w:p>
    <w:p>
      <w:pPr>
        <w:spacing w:before="120" w:after="120" w:line="288" w:lineRule="auto"/>
        <w:ind w:left="0"/>
        <w:jc w:val="left"/>
      </w:pPr>
      <w:r>
        <w:rPr>
          <w:rFonts w:ascii="Arial" w:hAnsi="Arial" w:eastAsia="等线" w:cs="Arial"/>
          <w:b/>
          <w:sz w:val="22"/>
        </w:rPr>
        <w:t>来源：</w:t>
      </w:r>
      <w:r>
        <w:rPr>
          <w:rFonts w:ascii="Arial" w:hAnsi="Arial" w:eastAsia="等线" w:cs="Arial"/>
          <w:sz w:val="22"/>
        </w:rPr>
        <w:t>人民法院报</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http://rmfyb.chinacourt.org/paper/html/2024-02/07/content_236571.htm</w:t>
      </w:r>
      <w:r>
        <w:rPr>
          <w:rFonts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全国首个自贸试验区数据分类分级标准规范</w:t>
      </w: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为促进和规范中国（天津）自由贸易试验区企业数据安全有序流动，提升数据安全保护能力，天津市商务局、中国（天津）自由贸易试验区（以下简称天津自贸试验区）管委会于2024年2月5日联合发布《中国（天津）自由贸易试验区企业数据分类分级标准规范》，这也是全国首个自贸试验区数据分类分级标准规范，填补了该领域制度空白。</w:t>
      </w:r>
    </w:p>
    <w:p>
      <w:pPr>
        <w:spacing w:before="120" w:after="120" w:line="288" w:lineRule="auto"/>
        <w:ind w:left="0"/>
        <w:jc w:val="left"/>
      </w:pPr>
      <w:r>
        <w:rPr>
          <w:rFonts w:ascii="Arial" w:hAnsi="Arial" w:eastAsia="等线" w:cs="Arial"/>
          <w:sz w:val="22"/>
        </w:rPr>
        <w:t>　　该规范遵循国家数据分类分级保护要求，按照数据所属行业领域进行分类分级管理，依据合法合规、统筹兼顾、通用性和隐私保护相统一、就高从严、动态更新原则，将企业数据分成13大类40子类，从高到低分为核心、重要、一般3个级别，明确了重要数据的识别标准。</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天津市商务局</w:t>
      </w:r>
    </w:p>
    <w:p>
      <w:pPr>
        <w:spacing w:before="120" w:after="120" w:line="288" w:lineRule="auto"/>
        <w:ind w:left="0"/>
        <w:jc w:val="left"/>
      </w:pPr>
      <w:r>
        <w:rPr>
          <w:rFonts w:ascii="Arial" w:hAnsi="Arial" w:eastAsia="等线" w:cs="Arial"/>
          <w:sz w:val="22"/>
        </w:rPr>
        <w:t>https://shangwuju.tj.gov.cn/tjsswjzz/zwgk/zcfg_48995/swjwj/202402/t20240207_6534807.html</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国家标准《信息安全技术 云计算服务安全能力评估方法》（征求意见稿）发布</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2024年2月4日，全国网络安全标准化技术委员会秘书处发布《信息安全技术 云计算服务安全能力评估方法》征求意见稿，为确保标准质量，面向社会广泛征求意见。该评估方法是在已发布的国标《信息安全技术 云计算服务安全能力要求》基础上制定的，在实施过程中可与该要求配合使用。该评估方法给出了依据GB/T 31168－2023《信息安全技术 云计算服务安全能力要求》，开展评估的原则、实施过程以及针对各项具体安全要求进行评估的方法，适用于第三方评估机构对云服务商提供云计算服务时具备的安全能力进行评估，云服务商在对自身云计算服务安全能力进行自评估时也可参考。</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全国信息安全标准化技术委员会秘书处</w:t>
      </w:r>
    </w:p>
    <w:p>
      <w:pPr>
        <w:spacing w:before="120" w:after="120" w:line="288" w:lineRule="auto"/>
        <w:ind w:left="0"/>
        <w:jc w:val="left"/>
      </w:pPr>
      <w:r>
        <w:rPr>
          <w:rFonts w:ascii="Arial" w:hAnsi="Arial" w:eastAsia="等线" w:cs="Arial"/>
          <w:sz w:val="22"/>
        </w:rPr>
        <w:t>https://www.tc260.org.cn/front/bzzqyjDetail.html?id=20240205090437&amp;norm_id=20231220164148&amp;recode_id=54108</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 xml:space="preserve">[人工智能] </w:t>
      </w:r>
      <w:r>
        <w:rPr>
          <w:rFonts w:ascii="Arial" w:hAnsi="Arial" w:eastAsia="等线" w:cs="Arial"/>
          <w:b/>
          <w:color w:val="245BDB"/>
          <w:sz w:val="22"/>
          <w:shd w:val="clear" w:fill="F2F3F5"/>
        </w:rPr>
        <w:t>国务院国资委召开中央企业人工智能专题推进会</w:t>
      </w: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2月19日，国务院国资委召开“AI赋能 产业焕新”中央企业人工智能专题推进会。 会议认为，加快推动人工智能发展，是国资央企发挥功能使命，抢抓战略机遇，培育新质生产力，推进高质量发展的必然要求。中央企业要主动拥抱人工智能带来的深刻变革，把加快发展新一代人工智能摆在更加突出的位置，不断强化创新策略、应用示范和人才聚集，着力打造人工智能产业集群，发挥需求规模大、产业配套全、应用场景多的优势，带头抢抓人工智能赋能传统产业，加快构建数据驱动、人机协同、跨界融合、共创分享的智能经济形态。</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会议强调，中央企业要把发展人工智能放在全局工作中统筹谋划，深入推进产业焕新，加快布局和发展人工智能产业。要夯实发展基础底座，把主要资源集中投入到最需要、最有优势的领域，加快建设一批智能算力中心，进一步深化开放合作，更好发挥跨央企协同创新平台作用。开展AI+专项行动，强化需求牵引，加快重点行业赋能，构建一批产业多模态优质数据集，打造从基础设施、算法工具、智能平台到解决方案的大模型赋能产业生态。</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国务院国有资产监督管理委员会新闻中心</w:t>
      </w:r>
    </w:p>
    <w:p>
      <w:pPr>
        <w:spacing w:before="120" w:after="120" w:line="288" w:lineRule="auto"/>
        <w:ind w:left="0"/>
        <w:jc w:val="left"/>
      </w:pPr>
      <w:r>
        <w:rPr>
          <w:rFonts w:ascii="Arial" w:hAnsi="Arial" w:eastAsia="等线" w:cs="Arial"/>
          <w:sz w:val="22"/>
        </w:rPr>
        <w:t>http://www.sasac.gov.cn/n2588025/n2643314/c30098649/content.html</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[数据网络] 新成立的国家数据局内设机构亮相</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近日，国家公务员局网站发布了《国家数据局2024年公开选调公务员面试公告》。国家数据局的综合司、政策规划司、数据资源司、数字经济司、数字科技和基础设施建设司已经出现在上述公告中。</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2023年的党和国家机构改革中组建了国家数据局，负责协调推进数据基础制度建设，统筹数据资源整合共享和开发利用，统筹推进数字中国、数字经济、数字社会规划和建设等，由国家发展和改革委员会管理，将中央网络安全和信息化委员会办公室承担的研究拟订数字中国建设方案、协调推动公共服务和社会治理信息化、协调促进智慧城市建设、协调国家重要信息资源开发利用与共享、推动信息资源跨行业跨部门互联互通等职责，国家发展和改革委员会承担的统筹推进数字经济发展、组织实施国家大数据战略、推进数据要素基础制度建设、推进数字基础设施布局建设等职责划入国家数据局。</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ascii="Arial" w:hAnsi="Arial" w:eastAsia="等线" w:cs="Arial"/>
          <w:sz w:val="22"/>
        </w:rPr>
        <w:t>大观新闻  澎湃新闻·澎湃号·媒体</w:t>
      </w:r>
    </w:p>
    <w:p>
      <w:pPr>
        <w:spacing w:before="120" w:after="120" w:line="288" w:lineRule="auto"/>
        <w:ind w:left="0"/>
        <w:jc w:val="left"/>
      </w:pPr>
      <w:r>
        <w:fldChar w:fldCharType="begin"/>
      </w:r>
      <w:r>
        <w:instrText xml:space="preserve"> HYPERLINK "http://www.cac.gov.cn/2023-12/08/c_1703609634347501.htm" \h </w:instrText>
      </w:r>
      <w:r>
        <w:fldChar w:fldCharType="separate"/>
      </w:r>
      <w:r>
        <w:rPr>
          <w:rFonts w:ascii="Arial" w:hAnsi="Arial" w:eastAsia="等线" w:cs="Arial"/>
          <w:color w:val="3370FF"/>
          <w:sz w:val="22"/>
          <w:u w:val="single"/>
        </w:rPr>
        <w:t>https://www.thepaper.cn/newsDetail_forward_26480360</w:t>
      </w:r>
      <w:r>
        <w:rPr>
          <w:rFonts w:ascii="Arial" w:hAnsi="Arial" w:eastAsia="等线" w:cs="Arial"/>
          <w:color w:val="3370FF"/>
          <w:sz w:val="22"/>
          <w:u w:val="single"/>
        </w:rPr>
        <w:fldChar w:fldCharType="end"/>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YjM2NTA2NTM0ZDQxMjY2MTEwNmY0N2VkZDQ4ZGZhMDIifQ=="/>
  </w:docVars>
  <w:rsids>
    <w:rsidRoot w:val="00000000"/>
    <w:rsid w:val="47657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2024-03-22T11:33:00Z</dcterms:created>
  <dc:creator>Apache POI</dc:creator>
  <cp:lastModifiedBy>BL</cp:lastModifiedBy>
  <dcterms:modified xsi:type="dcterms:W3CDTF">2024-03-22T11:41:15Z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F930DF3B900B4C75B8B620E2C61D1CA6_12</vt:lpwstr>
  </property>
</Properties>
</file>